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810B5" w14:textId="77777777" w:rsidR="00223090" w:rsidRDefault="00223090" w:rsidP="00223090">
      <w:pPr>
        <w:spacing w:line="480" w:lineRule="auto"/>
        <w:jc w:val="center"/>
        <w:rPr>
          <w:b/>
        </w:rPr>
      </w:pPr>
      <w:bookmarkStart w:id="0" w:name="_Hlk121736899"/>
      <w:r>
        <w:rPr>
          <w:b/>
        </w:rPr>
        <w:t xml:space="preserve">CONSUMER LIABILITY AND FIRM RESPONSIVENESS. EVIDENCE FROM AUTOMOBILE RECALLS </w:t>
      </w:r>
    </w:p>
    <w:p w14:paraId="0255A003" w14:textId="77777777" w:rsidR="00223090" w:rsidRDefault="00223090" w:rsidP="00223090"/>
    <w:p w14:paraId="29E845AB" w14:textId="77777777" w:rsidR="00223090" w:rsidRDefault="00223090" w:rsidP="00223090">
      <w:pPr>
        <w:jc w:val="center"/>
      </w:pPr>
      <w:r w:rsidRPr="00E400CD">
        <w:t xml:space="preserve">Kashef </w:t>
      </w:r>
      <w:r>
        <w:t xml:space="preserve">Abdul </w:t>
      </w:r>
      <w:r w:rsidRPr="00E400CD">
        <w:t>Majid</w:t>
      </w:r>
      <w:r>
        <w:t>, University of Mary Washington</w:t>
      </w:r>
    </w:p>
    <w:p w14:paraId="4EC57BE7" w14:textId="77777777" w:rsidR="00223090" w:rsidRDefault="00223090" w:rsidP="00223090">
      <w:pPr>
        <w:jc w:val="center"/>
      </w:pPr>
      <w:r>
        <w:t>Hari Bapuji, University of Melbourne</w:t>
      </w:r>
    </w:p>
    <w:p w14:paraId="092F220A" w14:textId="77777777" w:rsidR="00223090" w:rsidRDefault="00223090" w:rsidP="00223090">
      <w:pPr>
        <w:jc w:val="center"/>
      </w:pPr>
    </w:p>
    <w:p w14:paraId="70399A4B" w14:textId="77777777" w:rsidR="00223090" w:rsidRDefault="00223090" w:rsidP="00223090">
      <w:pPr>
        <w:jc w:val="center"/>
      </w:pPr>
    </w:p>
    <w:p w14:paraId="6CE12614" w14:textId="77777777" w:rsidR="00223090" w:rsidRDefault="00223090" w:rsidP="00223090">
      <w:pPr>
        <w:jc w:val="center"/>
      </w:pPr>
    </w:p>
    <w:p w14:paraId="147ED0C5" w14:textId="77777777" w:rsidR="00223090" w:rsidRDefault="00223090" w:rsidP="00223090"/>
    <w:p w14:paraId="601BC0A6" w14:textId="77777777" w:rsidR="00223090" w:rsidRDefault="00223090" w:rsidP="00223090">
      <w:r w:rsidRPr="00E400CD">
        <w:t xml:space="preserve">Kashef </w:t>
      </w:r>
      <w:r>
        <w:t xml:space="preserve">Abdul </w:t>
      </w:r>
      <w:r w:rsidRPr="00E400CD">
        <w:t>Majid</w:t>
      </w:r>
      <w:r>
        <w:t xml:space="preserve"> is Associate Professor of Marketing at University of Mary Washington, College of Business, 1301 College Ave, Fredericksburg, VA 22401 (</w:t>
      </w:r>
      <w:hyperlink r:id="rId8" w:history="1">
        <w:r w:rsidRPr="00F314BD">
          <w:rPr>
            <w:rStyle w:val="Hyperlink"/>
          </w:rPr>
          <w:t>kmajid@umw.edu</w:t>
        </w:r>
      </w:hyperlink>
      <w:r>
        <w:t xml:space="preserve">; 540.654.1506). </w:t>
      </w:r>
    </w:p>
    <w:p w14:paraId="23BA8B28" w14:textId="77777777" w:rsidR="00223090" w:rsidRDefault="00223090" w:rsidP="00223090"/>
    <w:p w14:paraId="467931C2" w14:textId="77777777" w:rsidR="00223090" w:rsidRDefault="00223090" w:rsidP="00223090"/>
    <w:p w14:paraId="3276AA1B" w14:textId="77777777" w:rsidR="00223090" w:rsidRDefault="00223090" w:rsidP="00223090">
      <w:r>
        <w:t>Hari Bapuji is Associate Professor of Management and Marketing, Department of Management and Marketing, University of Melbourne, 198 Berkeley Street, Victoria 3010, Australia (</w:t>
      </w:r>
      <w:hyperlink r:id="rId9" w:history="1">
        <w:r w:rsidRPr="00063391">
          <w:rPr>
            <w:rStyle w:val="Hyperlink"/>
          </w:rPr>
          <w:t>hari.bapuji@unimelb.edu.au</w:t>
        </w:r>
      </w:hyperlink>
      <w:r>
        <w:t xml:space="preserve">; 61.3.8344,9867). </w:t>
      </w:r>
    </w:p>
    <w:p w14:paraId="0D68A45B" w14:textId="77777777" w:rsidR="00223090" w:rsidRDefault="00223090" w:rsidP="00223090"/>
    <w:p w14:paraId="0275E2AC" w14:textId="77777777" w:rsidR="00223090" w:rsidRDefault="00223090" w:rsidP="00223090">
      <w:pPr>
        <w:rPr>
          <w:b/>
        </w:rPr>
      </w:pPr>
    </w:p>
    <w:p w14:paraId="7F858904" w14:textId="1C72CAB6" w:rsidR="00223090" w:rsidRDefault="00223090" w:rsidP="00223090">
      <w:r w:rsidRPr="009A1E1C">
        <w:rPr>
          <w:b/>
        </w:rPr>
        <w:t>Acknowledgements:</w:t>
      </w:r>
      <w:r>
        <w:t xml:space="preserve"> The authors would like to thank</w:t>
      </w:r>
      <w:r>
        <w:t xml:space="preserve"> the anonymous reviewers</w:t>
      </w:r>
      <w:r>
        <w:t>,</w:t>
      </w:r>
      <w:r>
        <w:t xml:space="preserve"> Ari Van Assche,</w:t>
      </w:r>
      <w:r>
        <w:t xml:space="preserve"> Jonathan Doh, Ram Mudambi, Kendall Roth, Keith Brothers, Manpreet Hora, Jane Lu, and Andrew </w:t>
      </w:r>
      <w:proofErr w:type="spellStart"/>
      <w:r>
        <w:t>Delios</w:t>
      </w:r>
      <w:proofErr w:type="spellEnd"/>
      <w:r>
        <w:t xml:space="preserve"> for helpful comments on earlier versions of this article.  </w:t>
      </w:r>
    </w:p>
    <w:p w14:paraId="42BF2E0E" w14:textId="77777777" w:rsidR="00223090" w:rsidRDefault="00223090" w:rsidP="00877163">
      <w:pPr>
        <w:pStyle w:val="NoSpacing"/>
      </w:pPr>
    </w:p>
    <w:p w14:paraId="05B5681F" w14:textId="77777777" w:rsidR="00223090" w:rsidRDefault="00223090" w:rsidP="00877163">
      <w:pPr>
        <w:pStyle w:val="NoSpacing"/>
      </w:pPr>
    </w:p>
    <w:p w14:paraId="7108B007" w14:textId="78D056B7" w:rsidR="00223090" w:rsidRDefault="00223090">
      <w:pPr>
        <w:spacing w:after="200" w:line="276" w:lineRule="auto"/>
      </w:pPr>
      <w:r>
        <w:br w:type="page"/>
      </w:r>
    </w:p>
    <w:p w14:paraId="6B9B9C85" w14:textId="77777777" w:rsidR="00877163" w:rsidRPr="00877163" w:rsidRDefault="00877163" w:rsidP="00877163">
      <w:pPr>
        <w:pStyle w:val="NoSpacing"/>
      </w:pPr>
    </w:p>
    <w:bookmarkEnd w:id="0"/>
    <w:p w14:paraId="0078DBD8" w14:textId="72D74D95" w:rsidR="007B7655" w:rsidRPr="00877163" w:rsidRDefault="006324E2" w:rsidP="006324E2">
      <w:pPr>
        <w:rPr>
          <w:b/>
          <w:sz w:val="28"/>
          <w:szCs w:val="28"/>
        </w:rPr>
      </w:pPr>
      <w:r w:rsidRPr="00877163">
        <w:rPr>
          <w:b/>
          <w:sz w:val="28"/>
          <w:szCs w:val="28"/>
        </w:rPr>
        <w:t>Abstract</w:t>
      </w:r>
    </w:p>
    <w:p w14:paraId="3C72A937" w14:textId="77777777" w:rsidR="006324E2" w:rsidRPr="00877163" w:rsidRDefault="006324E2" w:rsidP="00877163">
      <w:pPr>
        <w:rPr>
          <w:b/>
          <w:sz w:val="22"/>
          <w:szCs w:val="22"/>
        </w:rPr>
      </w:pPr>
    </w:p>
    <w:p w14:paraId="5B866FFE" w14:textId="6471A667" w:rsidR="009E126F" w:rsidRPr="00877163" w:rsidRDefault="00594121" w:rsidP="00594121">
      <w:pPr>
        <w:spacing w:line="480" w:lineRule="auto"/>
        <w:ind w:firstLine="720"/>
        <w:rPr>
          <w:sz w:val="22"/>
          <w:szCs w:val="22"/>
        </w:rPr>
      </w:pPr>
      <w:r>
        <w:rPr>
          <w:sz w:val="22"/>
          <w:szCs w:val="22"/>
        </w:rPr>
        <w:t xml:space="preserve">Regulations for product recalls differ internationally. In some countries, the responsibility rests entirely with manufacturers to quickly take corrective measures to ensure consumer safety. In other countries, penalties may also be imposed on consumers who persist in using products that have been recalled. </w:t>
      </w:r>
      <w:r w:rsidR="007D6426" w:rsidRPr="00877163">
        <w:rPr>
          <w:sz w:val="22"/>
          <w:szCs w:val="22"/>
        </w:rPr>
        <w:t>We hypothesize</w:t>
      </w:r>
      <w:r w:rsidR="00FE1C24" w:rsidRPr="00877163">
        <w:rPr>
          <w:sz w:val="22"/>
          <w:szCs w:val="22"/>
        </w:rPr>
        <w:t xml:space="preserve"> firm responsiveness</w:t>
      </w:r>
      <w:r w:rsidR="00011773" w:rsidRPr="00877163">
        <w:rPr>
          <w:sz w:val="22"/>
          <w:szCs w:val="22"/>
        </w:rPr>
        <w:t xml:space="preserve"> (as measured by the </w:t>
      </w:r>
      <w:r w:rsidR="00E60DD9" w:rsidRPr="00877163">
        <w:rPr>
          <w:sz w:val="22"/>
          <w:szCs w:val="22"/>
        </w:rPr>
        <w:t xml:space="preserve">time between the product release and the recall) </w:t>
      </w:r>
      <w:r w:rsidR="00A669D9" w:rsidRPr="00877163">
        <w:rPr>
          <w:sz w:val="22"/>
          <w:szCs w:val="22"/>
        </w:rPr>
        <w:t>will be higher</w:t>
      </w:r>
      <w:r w:rsidR="00FE1C24" w:rsidRPr="00877163">
        <w:rPr>
          <w:sz w:val="22"/>
          <w:szCs w:val="22"/>
        </w:rPr>
        <w:t xml:space="preserve"> </w:t>
      </w:r>
      <w:r w:rsidR="007D6426" w:rsidRPr="00877163">
        <w:rPr>
          <w:sz w:val="22"/>
          <w:szCs w:val="22"/>
        </w:rPr>
        <w:t>in markets where</w:t>
      </w:r>
      <w:r>
        <w:rPr>
          <w:sz w:val="22"/>
          <w:szCs w:val="22"/>
        </w:rPr>
        <w:t xml:space="preserve"> product safety</w:t>
      </w:r>
      <w:r w:rsidR="007D6426" w:rsidRPr="00877163">
        <w:rPr>
          <w:sz w:val="22"/>
          <w:szCs w:val="22"/>
        </w:rPr>
        <w:t xml:space="preserve"> regulations</w:t>
      </w:r>
      <w:r>
        <w:rPr>
          <w:sz w:val="22"/>
          <w:szCs w:val="22"/>
        </w:rPr>
        <w:t xml:space="preserve"> that include consumer liability</w:t>
      </w:r>
      <w:r w:rsidR="007D6426" w:rsidRPr="00877163">
        <w:rPr>
          <w:sz w:val="22"/>
          <w:szCs w:val="22"/>
        </w:rPr>
        <w:t xml:space="preserve"> </w:t>
      </w:r>
      <w:r w:rsidR="001011DA" w:rsidRPr="00877163">
        <w:rPr>
          <w:sz w:val="22"/>
          <w:szCs w:val="22"/>
        </w:rPr>
        <w:t xml:space="preserve">than in markets where </w:t>
      </w:r>
      <w:r>
        <w:rPr>
          <w:sz w:val="22"/>
          <w:szCs w:val="22"/>
        </w:rPr>
        <w:t xml:space="preserve">product safety </w:t>
      </w:r>
      <w:r w:rsidR="001011DA" w:rsidRPr="00877163">
        <w:rPr>
          <w:sz w:val="22"/>
          <w:szCs w:val="22"/>
        </w:rPr>
        <w:t>regulations focus solely on firms</w:t>
      </w:r>
      <w:r w:rsidR="00A669D9" w:rsidRPr="00877163">
        <w:rPr>
          <w:sz w:val="22"/>
          <w:szCs w:val="22"/>
        </w:rPr>
        <w:t xml:space="preserve">, and that firms that standardize their vehicles across such markets become more responsive in </w:t>
      </w:r>
      <w:r w:rsidR="001011DA" w:rsidRPr="00877163">
        <w:rPr>
          <w:sz w:val="22"/>
          <w:szCs w:val="22"/>
        </w:rPr>
        <w:t xml:space="preserve">both </w:t>
      </w:r>
      <w:r w:rsidR="00A669D9" w:rsidRPr="00877163">
        <w:rPr>
          <w:sz w:val="22"/>
          <w:szCs w:val="22"/>
        </w:rPr>
        <w:t>th</w:t>
      </w:r>
      <w:r w:rsidR="001011DA" w:rsidRPr="00877163">
        <w:rPr>
          <w:sz w:val="22"/>
          <w:szCs w:val="22"/>
        </w:rPr>
        <w:t>os</w:t>
      </w:r>
      <w:r w:rsidR="00A669D9" w:rsidRPr="00877163">
        <w:rPr>
          <w:sz w:val="22"/>
          <w:szCs w:val="22"/>
        </w:rPr>
        <w:t>e markets</w:t>
      </w:r>
      <w:r w:rsidR="00011773" w:rsidRPr="00877163">
        <w:rPr>
          <w:sz w:val="22"/>
          <w:szCs w:val="22"/>
        </w:rPr>
        <w:t xml:space="preserve">. </w:t>
      </w:r>
      <w:r w:rsidR="00A669D9" w:rsidRPr="00877163">
        <w:rPr>
          <w:sz w:val="22"/>
          <w:szCs w:val="22"/>
        </w:rPr>
        <w:t>We test</w:t>
      </w:r>
      <w:r w:rsidR="00AF5A84">
        <w:rPr>
          <w:sz w:val="22"/>
          <w:szCs w:val="22"/>
        </w:rPr>
        <w:t xml:space="preserve"> </w:t>
      </w:r>
      <w:r w:rsidR="00A669D9" w:rsidRPr="00877163">
        <w:rPr>
          <w:sz w:val="22"/>
          <w:szCs w:val="22"/>
        </w:rPr>
        <w:t>o</w:t>
      </w:r>
      <w:r w:rsidR="00011773" w:rsidRPr="00877163">
        <w:rPr>
          <w:sz w:val="22"/>
          <w:szCs w:val="22"/>
        </w:rPr>
        <w:t>ur hypotheses</w:t>
      </w:r>
      <w:r w:rsidR="00A669D9" w:rsidRPr="00877163">
        <w:rPr>
          <w:sz w:val="22"/>
          <w:szCs w:val="22"/>
        </w:rPr>
        <w:t xml:space="preserve"> </w:t>
      </w:r>
      <w:r w:rsidR="001011DA" w:rsidRPr="00877163">
        <w:rPr>
          <w:sz w:val="22"/>
          <w:szCs w:val="22"/>
        </w:rPr>
        <w:t xml:space="preserve">using data on 569 </w:t>
      </w:r>
      <w:r w:rsidR="00011773" w:rsidRPr="00877163">
        <w:rPr>
          <w:sz w:val="22"/>
          <w:szCs w:val="22"/>
        </w:rPr>
        <w:t xml:space="preserve">automobile recalls </w:t>
      </w:r>
      <w:r w:rsidR="00A669D9" w:rsidRPr="00877163">
        <w:rPr>
          <w:sz w:val="22"/>
          <w:szCs w:val="22"/>
        </w:rPr>
        <w:t xml:space="preserve">issued during 2003-2019 </w:t>
      </w:r>
      <w:r w:rsidR="00011773" w:rsidRPr="00877163">
        <w:rPr>
          <w:sz w:val="22"/>
          <w:szCs w:val="22"/>
        </w:rPr>
        <w:t xml:space="preserve">in </w:t>
      </w:r>
      <w:r w:rsidR="00360B1A" w:rsidRPr="00877163">
        <w:rPr>
          <w:sz w:val="22"/>
          <w:szCs w:val="22"/>
        </w:rPr>
        <w:t xml:space="preserve">four </w:t>
      </w:r>
      <w:r w:rsidR="00011773" w:rsidRPr="00877163">
        <w:rPr>
          <w:sz w:val="22"/>
          <w:szCs w:val="22"/>
        </w:rPr>
        <w:t xml:space="preserve">different markets (the </w:t>
      </w:r>
      <w:r w:rsidR="000A1B0A" w:rsidRPr="00877163">
        <w:rPr>
          <w:sz w:val="22"/>
          <w:szCs w:val="22"/>
        </w:rPr>
        <w:t>U.S</w:t>
      </w:r>
      <w:r w:rsidR="00360B1A" w:rsidRPr="00877163">
        <w:rPr>
          <w:sz w:val="22"/>
          <w:szCs w:val="22"/>
        </w:rPr>
        <w:t>, Australia, Germany</w:t>
      </w:r>
      <w:r w:rsidR="00011773" w:rsidRPr="00877163">
        <w:rPr>
          <w:sz w:val="22"/>
          <w:szCs w:val="22"/>
        </w:rPr>
        <w:t xml:space="preserve"> and the </w:t>
      </w:r>
      <w:r w:rsidR="000A1B0A" w:rsidRPr="00877163">
        <w:rPr>
          <w:sz w:val="22"/>
          <w:szCs w:val="22"/>
        </w:rPr>
        <w:t>U.K</w:t>
      </w:r>
      <w:r w:rsidR="00011773" w:rsidRPr="00877163">
        <w:rPr>
          <w:sz w:val="22"/>
          <w:szCs w:val="22"/>
        </w:rPr>
        <w:t>)</w:t>
      </w:r>
      <w:r w:rsidR="00A669D9" w:rsidRPr="00877163">
        <w:rPr>
          <w:sz w:val="22"/>
          <w:szCs w:val="22"/>
        </w:rPr>
        <w:t xml:space="preserve"> that differ in their regulatory focus</w:t>
      </w:r>
      <w:r w:rsidR="00011773" w:rsidRPr="00877163">
        <w:rPr>
          <w:sz w:val="22"/>
          <w:szCs w:val="22"/>
        </w:rPr>
        <w:t xml:space="preserve">. </w:t>
      </w:r>
      <w:r w:rsidR="00A669D9" w:rsidRPr="00877163">
        <w:rPr>
          <w:sz w:val="22"/>
          <w:szCs w:val="22"/>
        </w:rPr>
        <w:t xml:space="preserve">Our </w:t>
      </w:r>
      <w:r w:rsidR="001011DA" w:rsidRPr="00877163">
        <w:rPr>
          <w:sz w:val="22"/>
          <w:szCs w:val="22"/>
        </w:rPr>
        <w:t xml:space="preserve">empirical examination </w:t>
      </w:r>
      <w:r w:rsidR="00A669D9" w:rsidRPr="00877163">
        <w:rPr>
          <w:sz w:val="22"/>
          <w:szCs w:val="22"/>
        </w:rPr>
        <w:t xml:space="preserve">using survival analysis techniques with an accelerated failure time model </w:t>
      </w:r>
      <w:r w:rsidR="00176CAF">
        <w:rPr>
          <w:sz w:val="22"/>
          <w:szCs w:val="22"/>
        </w:rPr>
        <w:t xml:space="preserve">confirms that the time to recall is shorter in countries that include consumer liability and for standardized vehicles that are sold across </w:t>
      </w:r>
      <w:r w:rsidR="00AF5A84">
        <w:rPr>
          <w:sz w:val="22"/>
          <w:szCs w:val="22"/>
        </w:rPr>
        <w:t>countries that include and exclude consumer liability</w:t>
      </w:r>
      <w:r w:rsidR="00176CAF">
        <w:rPr>
          <w:sz w:val="22"/>
          <w:szCs w:val="22"/>
        </w:rPr>
        <w:t>.</w:t>
      </w:r>
    </w:p>
    <w:p w14:paraId="7D6C5C09" w14:textId="77777777" w:rsidR="00DF5913" w:rsidRDefault="00DF5913" w:rsidP="006324E2">
      <w:pPr>
        <w:spacing w:line="480" w:lineRule="auto"/>
        <w:rPr>
          <w:b/>
          <w:sz w:val="22"/>
          <w:szCs w:val="22"/>
        </w:rPr>
      </w:pPr>
    </w:p>
    <w:p w14:paraId="38C7895A" w14:textId="03BC0BB5" w:rsidR="00982335" w:rsidRPr="00877163" w:rsidRDefault="00982335" w:rsidP="006324E2">
      <w:pPr>
        <w:spacing w:line="480" w:lineRule="auto"/>
        <w:rPr>
          <w:sz w:val="22"/>
          <w:szCs w:val="22"/>
          <w:highlight w:val="yellow"/>
        </w:rPr>
      </w:pPr>
      <w:r w:rsidRPr="00877163">
        <w:rPr>
          <w:b/>
          <w:sz w:val="22"/>
          <w:szCs w:val="22"/>
        </w:rPr>
        <w:t>Keywords:</w:t>
      </w:r>
      <w:r w:rsidRPr="00877163">
        <w:rPr>
          <w:sz w:val="22"/>
          <w:szCs w:val="22"/>
        </w:rPr>
        <w:t xml:space="preserve"> Regulat</w:t>
      </w:r>
      <w:r w:rsidR="009F2DE2" w:rsidRPr="00877163">
        <w:rPr>
          <w:sz w:val="22"/>
          <w:szCs w:val="22"/>
        </w:rPr>
        <w:t>ions</w:t>
      </w:r>
      <w:r w:rsidRPr="00877163">
        <w:rPr>
          <w:sz w:val="22"/>
          <w:szCs w:val="22"/>
        </w:rPr>
        <w:t xml:space="preserve">, </w:t>
      </w:r>
      <w:r w:rsidR="00176CAF">
        <w:rPr>
          <w:sz w:val="22"/>
          <w:szCs w:val="22"/>
        </w:rPr>
        <w:t>Consumer Liability</w:t>
      </w:r>
      <w:r w:rsidR="009F2DE2" w:rsidRPr="00877163">
        <w:rPr>
          <w:sz w:val="22"/>
          <w:szCs w:val="22"/>
        </w:rPr>
        <w:t xml:space="preserve">, </w:t>
      </w:r>
      <w:r w:rsidRPr="00877163">
        <w:rPr>
          <w:sz w:val="22"/>
          <w:szCs w:val="22"/>
        </w:rPr>
        <w:t>Responsiveness, Product Recalls</w:t>
      </w:r>
      <w:r w:rsidR="001011DA" w:rsidRPr="00877163">
        <w:rPr>
          <w:sz w:val="22"/>
          <w:szCs w:val="22"/>
        </w:rPr>
        <w:t xml:space="preserve">, </w:t>
      </w:r>
      <w:r w:rsidR="006203CD">
        <w:rPr>
          <w:sz w:val="22"/>
          <w:szCs w:val="22"/>
        </w:rPr>
        <w:t xml:space="preserve">Hazard Modelling </w:t>
      </w:r>
    </w:p>
    <w:p w14:paraId="4F8340EF" w14:textId="4CBC0361" w:rsidR="00894C1B" w:rsidRPr="00877163" w:rsidRDefault="00BA5E8D" w:rsidP="006324E2">
      <w:pPr>
        <w:rPr>
          <w:sz w:val="22"/>
          <w:szCs w:val="22"/>
        </w:rPr>
      </w:pPr>
      <w:r w:rsidRPr="00877163">
        <w:rPr>
          <w:sz w:val="22"/>
          <w:szCs w:val="22"/>
        </w:rPr>
        <w:t xml:space="preserve"> </w:t>
      </w:r>
    </w:p>
    <w:p w14:paraId="63DA7368" w14:textId="77777777" w:rsidR="00894C1B" w:rsidRPr="00877163" w:rsidRDefault="00894C1B" w:rsidP="006324E2">
      <w:pPr>
        <w:rPr>
          <w:sz w:val="22"/>
          <w:szCs w:val="22"/>
        </w:rPr>
      </w:pPr>
      <w:r w:rsidRPr="00877163">
        <w:rPr>
          <w:sz w:val="22"/>
          <w:szCs w:val="22"/>
        </w:rPr>
        <w:br w:type="page"/>
      </w:r>
    </w:p>
    <w:p w14:paraId="742D9E84" w14:textId="581C20E9" w:rsidR="002D6A77" w:rsidRPr="00877163" w:rsidRDefault="006324E2" w:rsidP="00877163">
      <w:pPr>
        <w:spacing w:line="480" w:lineRule="auto"/>
        <w:rPr>
          <w:b/>
          <w:sz w:val="28"/>
          <w:szCs w:val="28"/>
        </w:rPr>
      </w:pPr>
      <w:r w:rsidRPr="00877163">
        <w:rPr>
          <w:b/>
          <w:sz w:val="28"/>
          <w:szCs w:val="28"/>
        </w:rPr>
        <w:lastRenderedPageBreak/>
        <w:t>Introduction</w:t>
      </w:r>
    </w:p>
    <w:p w14:paraId="30F8C209" w14:textId="4E617A09" w:rsidR="007D40B9" w:rsidRPr="00877163" w:rsidRDefault="00B850DA" w:rsidP="00877163">
      <w:pPr>
        <w:spacing w:line="480" w:lineRule="auto"/>
        <w:ind w:firstLine="720"/>
        <w:rPr>
          <w:sz w:val="22"/>
          <w:szCs w:val="22"/>
        </w:rPr>
      </w:pPr>
      <w:r w:rsidRPr="00877163">
        <w:rPr>
          <w:bCs/>
          <w:sz w:val="22"/>
          <w:szCs w:val="22"/>
        </w:rPr>
        <w:t xml:space="preserve">Businesses that operate internationally are exposed to regulations </w:t>
      </w:r>
      <w:r w:rsidR="005E6DA4" w:rsidRPr="00877163">
        <w:rPr>
          <w:bCs/>
          <w:sz w:val="22"/>
          <w:szCs w:val="22"/>
        </w:rPr>
        <w:t>to address market failures caused by gaps in the market (Mudambi &amp; Navarra, 2002). In other words, regulations are intended to strengthen a well-functioning market and th</w:t>
      </w:r>
      <w:r w:rsidR="005A1B27" w:rsidRPr="00877163">
        <w:rPr>
          <w:bCs/>
          <w:sz w:val="22"/>
          <w:szCs w:val="22"/>
        </w:rPr>
        <w:t>e firms</w:t>
      </w:r>
      <w:r w:rsidR="005E6DA4" w:rsidRPr="00877163">
        <w:rPr>
          <w:bCs/>
          <w:sz w:val="22"/>
          <w:szCs w:val="22"/>
        </w:rPr>
        <w:t xml:space="preserve"> within it (Mudambi &amp; Navarra, 2002). </w:t>
      </w:r>
      <w:r w:rsidR="00782797" w:rsidRPr="00877163">
        <w:rPr>
          <w:bCs/>
          <w:sz w:val="22"/>
          <w:szCs w:val="22"/>
        </w:rPr>
        <w:t xml:space="preserve">These regulations often face a philosophical dilemma, such as </w:t>
      </w:r>
      <w:r w:rsidR="00885C0D" w:rsidRPr="00877163">
        <w:rPr>
          <w:bCs/>
          <w:sz w:val="22"/>
          <w:szCs w:val="22"/>
        </w:rPr>
        <w:t xml:space="preserve">to prevent </w:t>
      </w:r>
      <w:r w:rsidR="00782797" w:rsidRPr="00877163">
        <w:rPr>
          <w:bCs/>
          <w:sz w:val="22"/>
          <w:szCs w:val="22"/>
        </w:rPr>
        <w:t xml:space="preserve">collective </w:t>
      </w:r>
      <w:r w:rsidR="00885C0D" w:rsidRPr="00877163">
        <w:rPr>
          <w:bCs/>
          <w:sz w:val="22"/>
          <w:szCs w:val="22"/>
        </w:rPr>
        <w:t xml:space="preserve">harm </w:t>
      </w:r>
      <w:r w:rsidR="00782797" w:rsidRPr="00877163">
        <w:rPr>
          <w:bCs/>
          <w:sz w:val="22"/>
          <w:szCs w:val="22"/>
        </w:rPr>
        <w:t>or to</w:t>
      </w:r>
      <w:r w:rsidR="00885C0D" w:rsidRPr="00877163">
        <w:rPr>
          <w:bCs/>
          <w:sz w:val="22"/>
          <w:szCs w:val="22"/>
        </w:rPr>
        <w:t xml:space="preserve"> protect individual rights.</w:t>
      </w:r>
      <w:r w:rsidR="003151BA" w:rsidRPr="00877163">
        <w:rPr>
          <w:bCs/>
          <w:sz w:val="22"/>
          <w:szCs w:val="22"/>
        </w:rPr>
        <w:t xml:space="preserve"> </w:t>
      </w:r>
      <w:r w:rsidR="00885C0D" w:rsidRPr="00877163">
        <w:rPr>
          <w:bCs/>
          <w:sz w:val="22"/>
          <w:szCs w:val="22"/>
        </w:rPr>
        <w:t>For example, the recent debates of Covid-19 vaccine mandates highlighted the contrast in philosophies between collective harm reduction and the rights of individuals to make their own decisions (</w:t>
      </w:r>
      <w:proofErr w:type="spellStart"/>
      <w:r w:rsidR="007B0146" w:rsidRPr="00877163">
        <w:rPr>
          <w:bCs/>
          <w:sz w:val="22"/>
          <w:szCs w:val="22"/>
        </w:rPr>
        <w:t>Gostin</w:t>
      </w:r>
      <w:proofErr w:type="spellEnd"/>
      <w:r w:rsidR="007B0146" w:rsidRPr="00877163">
        <w:rPr>
          <w:bCs/>
          <w:sz w:val="22"/>
          <w:szCs w:val="22"/>
        </w:rPr>
        <w:t>, Cohen, &amp; Koplan, 2020</w:t>
      </w:r>
      <w:r w:rsidR="00885C0D" w:rsidRPr="00877163">
        <w:rPr>
          <w:bCs/>
          <w:sz w:val="22"/>
          <w:szCs w:val="22"/>
        </w:rPr>
        <w:t>).</w:t>
      </w:r>
      <w:r w:rsidR="003151BA" w:rsidRPr="00877163">
        <w:rPr>
          <w:bCs/>
          <w:sz w:val="22"/>
          <w:szCs w:val="22"/>
        </w:rPr>
        <w:t xml:space="preserve"> </w:t>
      </w:r>
      <w:r w:rsidR="003151BA" w:rsidRPr="00877163">
        <w:rPr>
          <w:sz w:val="22"/>
          <w:szCs w:val="22"/>
        </w:rPr>
        <w:t>The balance between individual freedoms and collective responsibility has been an issue of great debate in the realm of economics (Friedman &amp; Friedman, 1990), public health (</w:t>
      </w:r>
      <w:proofErr w:type="spellStart"/>
      <w:r w:rsidR="00DA4F34" w:rsidRPr="00877163">
        <w:rPr>
          <w:sz w:val="22"/>
          <w:szCs w:val="22"/>
        </w:rPr>
        <w:t>Gostin</w:t>
      </w:r>
      <w:proofErr w:type="spellEnd"/>
      <w:r w:rsidR="00DA4F34" w:rsidRPr="00877163">
        <w:rPr>
          <w:sz w:val="22"/>
          <w:szCs w:val="22"/>
        </w:rPr>
        <w:t xml:space="preserve">, Cohen, &amp; Koplan, 2020; </w:t>
      </w:r>
      <w:r w:rsidR="003151BA" w:rsidRPr="00877163">
        <w:rPr>
          <w:sz w:val="22"/>
          <w:szCs w:val="22"/>
        </w:rPr>
        <w:t xml:space="preserve">Hafner-Eaton &amp; Pearce, 1994), law (Blum &amp; Talib, 2006), and consumer affairs (Asher, 1998). </w:t>
      </w:r>
    </w:p>
    <w:p w14:paraId="5049BE6D" w14:textId="7709B79F" w:rsidR="00374A61" w:rsidRPr="00877163" w:rsidRDefault="003151BA" w:rsidP="006324E2">
      <w:pPr>
        <w:spacing w:line="480" w:lineRule="auto"/>
        <w:ind w:firstLine="720"/>
        <w:rPr>
          <w:sz w:val="22"/>
          <w:szCs w:val="22"/>
        </w:rPr>
      </w:pPr>
      <w:r w:rsidRPr="00877163">
        <w:rPr>
          <w:sz w:val="22"/>
          <w:szCs w:val="22"/>
        </w:rPr>
        <w:t xml:space="preserve">Individual freedoms are the basis of a well-functioning free market (Friedman &amp; Friedman, 1990) but the degree to which regulations in different countries restricts individual freedoms vary considerably. </w:t>
      </w:r>
      <w:bookmarkStart w:id="1" w:name="_Hlk153908955"/>
      <w:r w:rsidRPr="00877163">
        <w:rPr>
          <w:sz w:val="22"/>
          <w:szCs w:val="22"/>
        </w:rPr>
        <w:t xml:space="preserve">For example, in the </w:t>
      </w:r>
      <w:r w:rsidR="000A1B0A" w:rsidRPr="00877163">
        <w:rPr>
          <w:sz w:val="22"/>
          <w:szCs w:val="22"/>
        </w:rPr>
        <w:t>U.S</w:t>
      </w:r>
      <w:r w:rsidRPr="00877163">
        <w:rPr>
          <w:sz w:val="22"/>
          <w:szCs w:val="22"/>
        </w:rPr>
        <w:t xml:space="preserve">, most consumers eighteen years of age </w:t>
      </w:r>
      <w:r w:rsidR="00A91991" w:rsidRPr="00877163">
        <w:rPr>
          <w:sz w:val="22"/>
          <w:szCs w:val="22"/>
        </w:rPr>
        <w:t xml:space="preserve">or </w:t>
      </w:r>
      <w:r w:rsidRPr="00877163">
        <w:rPr>
          <w:sz w:val="22"/>
          <w:szCs w:val="22"/>
        </w:rPr>
        <w:t xml:space="preserve">older with no criminal record can </w:t>
      </w:r>
      <w:r w:rsidR="005E20F0" w:rsidRPr="00877163">
        <w:rPr>
          <w:sz w:val="22"/>
          <w:szCs w:val="22"/>
        </w:rPr>
        <w:t xml:space="preserve">easily </w:t>
      </w:r>
      <w:r w:rsidRPr="00877163">
        <w:rPr>
          <w:sz w:val="22"/>
          <w:szCs w:val="22"/>
        </w:rPr>
        <w:t>purchase a gun</w:t>
      </w:r>
      <w:r w:rsidR="00A91991" w:rsidRPr="00877163">
        <w:rPr>
          <w:sz w:val="22"/>
          <w:szCs w:val="22"/>
        </w:rPr>
        <w:t>,</w:t>
      </w:r>
      <w:r w:rsidRPr="00877163">
        <w:rPr>
          <w:sz w:val="22"/>
          <w:szCs w:val="22"/>
        </w:rPr>
        <w:t xml:space="preserve"> while in Japan the process can take months and involve multiple steps to demonstrate competency (Denzer, 2017</w:t>
      </w:r>
      <w:bookmarkEnd w:id="1"/>
      <w:r w:rsidRPr="00877163">
        <w:rPr>
          <w:sz w:val="22"/>
          <w:szCs w:val="22"/>
        </w:rPr>
        <w:t>).</w:t>
      </w:r>
      <w:r w:rsidR="00590FF2" w:rsidRPr="00877163">
        <w:rPr>
          <w:sz w:val="22"/>
          <w:szCs w:val="22"/>
        </w:rPr>
        <w:t xml:space="preserve"> </w:t>
      </w:r>
      <w:bookmarkStart w:id="2" w:name="_Hlk153909809"/>
      <w:r w:rsidR="00590FF2" w:rsidRPr="00877163">
        <w:rPr>
          <w:sz w:val="22"/>
          <w:szCs w:val="22"/>
        </w:rPr>
        <w:t xml:space="preserve">As a </w:t>
      </w:r>
      <w:r w:rsidR="00273CE3" w:rsidRPr="00877163">
        <w:rPr>
          <w:sz w:val="22"/>
          <w:szCs w:val="22"/>
        </w:rPr>
        <w:t>result,</w:t>
      </w:r>
      <w:r w:rsidR="00590FF2" w:rsidRPr="00877163">
        <w:rPr>
          <w:sz w:val="22"/>
          <w:szCs w:val="22"/>
        </w:rPr>
        <w:t xml:space="preserve"> gun ownership in Japan is much lower than </w:t>
      </w:r>
      <w:r w:rsidR="00A91991" w:rsidRPr="00877163">
        <w:rPr>
          <w:sz w:val="22"/>
          <w:szCs w:val="22"/>
        </w:rPr>
        <w:t xml:space="preserve">it is </w:t>
      </w:r>
      <w:r w:rsidR="00273CE3" w:rsidRPr="00877163">
        <w:rPr>
          <w:sz w:val="22"/>
          <w:szCs w:val="22"/>
        </w:rPr>
        <w:t xml:space="preserve">in </w:t>
      </w:r>
      <w:r w:rsidR="00590FF2" w:rsidRPr="00877163">
        <w:rPr>
          <w:sz w:val="22"/>
          <w:szCs w:val="22"/>
        </w:rPr>
        <w:t xml:space="preserve">the U.S (Carlsen &amp; Chinoy, 2019). </w:t>
      </w:r>
      <w:bookmarkEnd w:id="2"/>
      <w:r w:rsidRPr="00877163">
        <w:rPr>
          <w:sz w:val="22"/>
          <w:szCs w:val="22"/>
        </w:rPr>
        <w:t>From a consumer perspective, a buyer has the right to do with their person and property as they wish within the confines of the law. However, collective responsibility limits individual freedoms for the good of the whole</w:t>
      </w:r>
      <w:r w:rsidR="007D40B9" w:rsidRPr="00877163">
        <w:rPr>
          <w:sz w:val="22"/>
          <w:szCs w:val="22"/>
        </w:rPr>
        <w:t xml:space="preserve">, such as in the case of </w:t>
      </w:r>
      <w:r w:rsidRPr="00877163">
        <w:rPr>
          <w:sz w:val="22"/>
          <w:szCs w:val="22"/>
        </w:rPr>
        <w:t xml:space="preserve">traffic laws, </w:t>
      </w:r>
      <w:r w:rsidR="007D40B9" w:rsidRPr="00877163">
        <w:rPr>
          <w:sz w:val="22"/>
          <w:szCs w:val="22"/>
        </w:rPr>
        <w:t xml:space="preserve">which place speed limits to protect people from the harm that speeding cars could cause. In short, the extent to </w:t>
      </w:r>
      <w:r w:rsidR="00176CAF">
        <w:rPr>
          <w:sz w:val="22"/>
          <w:szCs w:val="22"/>
        </w:rPr>
        <w:t xml:space="preserve">which consumers are liable for the actions of others versus individual freedoms varies across countries. For example, </w:t>
      </w:r>
      <w:r w:rsidR="001B5C1B">
        <w:rPr>
          <w:sz w:val="22"/>
          <w:szCs w:val="22"/>
        </w:rPr>
        <w:t>in some parts of the United States an individual gun owner can be held responsible if another</w:t>
      </w:r>
      <w:r w:rsidR="00502ADE">
        <w:rPr>
          <w:sz w:val="22"/>
          <w:szCs w:val="22"/>
        </w:rPr>
        <w:t xml:space="preserve"> person</w:t>
      </w:r>
      <w:r w:rsidR="001B5C1B">
        <w:rPr>
          <w:sz w:val="22"/>
          <w:szCs w:val="22"/>
        </w:rPr>
        <w:t xml:space="preserve"> were to use that gun in the commission of a crime while in other jurisdictions in the United Stat</w:t>
      </w:r>
      <w:r w:rsidR="00AF5A84">
        <w:rPr>
          <w:sz w:val="22"/>
          <w:szCs w:val="22"/>
        </w:rPr>
        <w:t>e</w:t>
      </w:r>
      <w:r w:rsidR="001B5C1B">
        <w:rPr>
          <w:sz w:val="22"/>
          <w:szCs w:val="22"/>
        </w:rPr>
        <w:t>s the gun owner cannot be liable unless he/ she took part in the crime</w:t>
      </w:r>
      <w:r w:rsidR="00CE152D">
        <w:rPr>
          <w:sz w:val="22"/>
          <w:szCs w:val="22"/>
        </w:rPr>
        <w:t xml:space="preserve"> (</w:t>
      </w:r>
      <w:proofErr w:type="spellStart"/>
      <w:r w:rsidR="00CE152D">
        <w:rPr>
          <w:sz w:val="22"/>
          <w:szCs w:val="22"/>
        </w:rPr>
        <w:t>Debusmann</w:t>
      </w:r>
      <w:proofErr w:type="spellEnd"/>
      <w:r w:rsidR="00CE152D">
        <w:rPr>
          <w:sz w:val="22"/>
          <w:szCs w:val="22"/>
        </w:rPr>
        <w:t xml:space="preserve"> Jr., 2024)</w:t>
      </w:r>
      <w:r w:rsidR="001B5C1B">
        <w:rPr>
          <w:sz w:val="22"/>
          <w:szCs w:val="22"/>
        </w:rPr>
        <w:t xml:space="preserve">. Thus, laws pertaining to guns may or may not </w:t>
      </w:r>
      <w:r w:rsidR="00502ADE">
        <w:rPr>
          <w:sz w:val="22"/>
          <w:szCs w:val="22"/>
        </w:rPr>
        <w:t>include</w:t>
      </w:r>
      <w:r w:rsidR="001B5C1B">
        <w:rPr>
          <w:sz w:val="22"/>
          <w:szCs w:val="22"/>
        </w:rPr>
        <w:t xml:space="preserve"> consumer liability when a crime is committed by others. </w:t>
      </w:r>
      <w:r w:rsidR="00273CE3" w:rsidRPr="00877163">
        <w:rPr>
          <w:sz w:val="22"/>
          <w:szCs w:val="22"/>
        </w:rPr>
        <w:t xml:space="preserve">Studying the effect of these </w:t>
      </w:r>
      <w:r w:rsidR="00680FF6" w:rsidRPr="00877163">
        <w:rPr>
          <w:bCs/>
          <w:sz w:val="22"/>
          <w:szCs w:val="22"/>
        </w:rPr>
        <w:lastRenderedPageBreak/>
        <w:t>differing regulatory environments (</w:t>
      </w:r>
      <w:r w:rsidR="007D40B9" w:rsidRPr="00877163">
        <w:rPr>
          <w:bCs/>
          <w:sz w:val="22"/>
          <w:szCs w:val="22"/>
        </w:rPr>
        <w:t xml:space="preserve">i.e., </w:t>
      </w:r>
      <w:r w:rsidR="00176CAF">
        <w:rPr>
          <w:bCs/>
          <w:sz w:val="22"/>
          <w:szCs w:val="22"/>
        </w:rPr>
        <w:t>consumer liability vs. non</w:t>
      </w:r>
      <w:r w:rsidR="00680FF6" w:rsidRPr="00877163">
        <w:rPr>
          <w:bCs/>
          <w:sz w:val="22"/>
          <w:szCs w:val="22"/>
        </w:rPr>
        <w:t xml:space="preserve">) </w:t>
      </w:r>
      <w:r w:rsidR="00273CE3" w:rsidRPr="00877163">
        <w:rPr>
          <w:bCs/>
          <w:sz w:val="22"/>
          <w:szCs w:val="22"/>
        </w:rPr>
        <w:t xml:space="preserve">on </w:t>
      </w:r>
      <w:r w:rsidR="00680FF6" w:rsidRPr="00877163">
        <w:rPr>
          <w:bCs/>
          <w:sz w:val="22"/>
          <w:szCs w:val="22"/>
        </w:rPr>
        <w:t xml:space="preserve">the operations of </w:t>
      </w:r>
      <w:r w:rsidR="00026E83" w:rsidRPr="00877163">
        <w:rPr>
          <w:bCs/>
          <w:sz w:val="22"/>
          <w:szCs w:val="22"/>
        </w:rPr>
        <w:t xml:space="preserve">businesses provide a unique policy-relevant insight and further impetus for policymakers to pursue one approach over another (Van Assche, 2018). </w:t>
      </w:r>
    </w:p>
    <w:p w14:paraId="11CC712B" w14:textId="5C319D5C" w:rsidR="0025425E" w:rsidRPr="00877163" w:rsidRDefault="008D7474" w:rsidP="00CC2829">
      <w:pPr>
        <w:widowControl w:val="0"/>
        <w:spacing w:line="480" w:lineRule="auto"/>
        <w:ind w:firstLine="720"/>
        <w:rPr>
          <w:sz w:val="22"/>
          <w:szCs w:val="22"/>
        </w:rPr>
      </w:pPr>
      <w:r w:rsidRPr="00877163">
        <w:rPr>
          <w:sz w:val="22"/>
          <w:szCs w:val="22"/>
        </w:rPr>
        <w:t xml:space="preserve">The purpose of our work is to examine the balance between individual freedoms and collective responsibility from the perspective of how it impacts businesses. Specifically, </w:t>
      </w:r>
      <w:r w:rsidR="007D40B9" w:rsidRPr="00877163">
        <w:rPr>
          <w:sz w:val="22"/>
          <w:szCs w:val="22"/>
        </w:rPr>
        <w:t xml:space="preserve">we ask: </w:t>
      </w:r>
      <w:r w:rsidR="00133DCF" w:rsidRPr="00877163">
        <w:rPr>
          <w:sz w:val="22"/>
          <w:szCs w:val="22"/>
        </w:rPr>
        <w:t xml:space="preserve">how </w:t>
      </w:r>
      <w:r w:rsidR="00302EB8" w:rsidRPr="00877163">
        <w:rPr>
          <w:sz w:val="22"/>
          <w:szCs w:val="22"/>
        </w:rPr>
        <w:t xml:space="preserve">do regulatory environments that </w:t>
      </w:r>
      <w:r w:rsidR="00502ADE">
        <w:rPr>
          <w:sz w:val="22"/>
          <w:szCs w:val="22"/>
        </w:rPr>
        <w:t>include consumer liability</w:t>
      </w:r>
      <w:r w:rsidR="00302EB8" w:rsidRPr="00877163">
        <w:rPr>
          <w:sz w:val="22"/>
          <w:szCs w:val="22"/>
        </w:rPr>
        <w:t xml:space="preserve"> impact how the business operates</w:t>
      </w:r>
      <w:r w:rsidR="00101E94" w:rsidRPr="00877163">
        <w:rPr>
          <w:sz w:val="22"/>
          <w:szCs w:val="22"/>
        </w:rPr>
        <w:t>?</w:t>
      </w:r>
      <w:r w:rsidR="00193140" w:rsidRPr="00877163">
        <w:rPr>
          <w:sz w:val="22"/>
          <w:szCs w:val="22"/>
        </w:rPr>
        <w:t xml:space="preserve"> </w:t>
      </w:r>
      <w:r w:rsidR="004342AF" w:rsidRPr="00877163">
        <w:rPr>
          <w:sz w:val="22"/>
          <w:szCs w:val="22"/>
        </w:rPr>
        <w:t xml:space="preserve">Our context comes from the realm of </w:t>
      </w:r>
      <w:r w:rsidR="000B7D07" w:rsidRPr="00877163">
        <w:rPr>
          <w:sz w:val="22"/>
          <w:szCs w:val="22"/>
        </w:rPr>
        <w:t>product</w:t>
      </w:r>
      <w:r w:rsidR="00502ADE">
        <w:rPr>
          <w:sz w:val="22"/>
          <w:szCs w:val="22"/>
        </w:rPr>
        <w:t>-</w:t>
      </w:r>
      <w:r w:rsidR="000B7D07" w:rsidRPr="00877163">
        <w:rPr>
          <w:sz w:val="22"/>
          <w:szCs w:val="22"/>
        </w:rPr>
        <w:t>harm, specifically product recalls</w:t>
      </w:r>
      <w:r w:rsidR="008F6CF8" w:rsidRPr="00877163">
        <w:rPr>
          <w:sz w:val="22"/>
          <w:szCs w:val="22"/>
        </w:rPr>
        <w:t xml:space="preserve"> </w:t>
      </w:r>
      <w:r w:rsidR="00D925A7" w:rsidRPr="00877163">
        <w:rPr>
          <w:sz w:val="22"/>
          <w:szCs w:val="22"/>
        </w:rPr>
        <w:t xml:space="preserve">where the </w:t>
      </w:r>
      <w:r w:rsidR="00624B19" w:rsidRPr="00877163">
        <w:rPr>
          <w:sz w:val="22"/>
          <w:szCs w:val="22"/>
        </w:rPr>
        <w:t>onus is on consumers to seek the remedy from a problem that they did not cause</w:t>
      </w:r>
      <w:r w:rsidR="00D925A7" w:rsidRPr="00877163">
        <w:rPr>
          <w:sz w:val="22"/>
          <w:szCs w:val="22"/>
        </w:rPr>
        <w:t xml:space="preserve">. </w:t>
      </w:r>
      <w:r w:rsidR="003E1680" w:rsidRPr="00877163">
        <w:rPr>
          <w:sz w:val="22"/>
          <w:szCs w:val="22"/>
        </w:rPr>
        <w:t xml:space="preserve">We argue that </w:t>
      </w:r>
      <w:r w:rsidR="00D26A0C">
        <w:rPr>
          <w:sz w:val="22"/>
          <w:szCs w:val="22"/>
        </w:rPr>
        <w:t xml:space="preserve">product safety </w:t>
      </w:r>
      <w:r w:rsidR="003E1680" w:rsidRPr="00877163">
        <w:rPr>
          <w:sz w:val="22"/>
          <w:szCs w:val="22"/>
        </w:rPr>
        <w:t>r</w:t>
      </w:r>
      <w:r w:rsidR="00D925A7" w:rsidRPr="00877163">
        <w:rPr>
          <w:sz w:val="22"/>
          <w:szCs w:val="22"/>
        </w:rPr>
        <w:t xml:space="preserve">egulations which focus only on the firm </w:t>
      </w:r>
      <w:r w:rsidR="009B416F" w:rsidRPr="00877163">
        <w:rPr>
          <w:sz w:val="22"/>
          <w:szCs w:val="22"/>
        </w:rPr>
        <w:t xml:space="preserve">create a situation where </w:t>
      </w:r>
      <w:r w:rsidR="00626B51" w:rsidRPr="00877163">
        <w:rPr>
          <w:sz w:val="22"/>
          <w:szCs w:val="22"/>
        </w:rPr>
        <w:t>the firm</w:t>
      </w:r>
      <w:r w:rsidR="008F6CF8" w:rsidRPr="00877163">
        <w:rPr>
          <w:sz w:val="22"/>
          <w:szCs w:val="22"/>
        </w:rPr>
        <w:t>s</w:t>
      </w:r>
      <w:r w:rsidR="00626B51" w:rsidRPr="00877163">
        <w:rPr>
          <w:sz w:val="22"/>
          <w:szCs w:val="22"/>
        </w:rPr>
        <w:t xml:space="preserve"> may </w:t>
      </w:r>
      <w:r w:rsidR="003E1680" w:rsidRPr="00877163">
        <w:rPr>
          <w:sz w:val="22"/>
          <w:szCs w:val="22"/>
        </w:rPr>
        <w:t xml:space="preserve">take longer to issue </w:t>
      </w:r>
      <w:r w:rsidR="00626B51" w:rsidRPr="00877163">
        <w:rPr>
          <w:sz w:val="22"/>
          <w:szCs w:val="22"/>
        </w:rPr>
        <w:t>a recall (</w:t>
      </w:r>
      <w:r w:rsidR="004B5EEF" w:rsidRPr="00877163">
        <w:rPr>
          <w:sz w:val="22"/>
          <w:szCs w:val="22"/>
        </w:rPr>
        <w:t xml:space="preserve">Davidson III, Wallace, </w:t>
      </w:r>
      <w:r w:rsidR="009210C2" w:rsidRPr="00877163">
        <w:rPr>
          <w:sz w:val="22"/>
          <w:szCs w:val="22"/>
        </w:rPr>
        <w:t xml:space="preserve">&amp; </w:t>
      </w:r>
      <w:r w:rsidR="004B5EEF" w:rsidRPr="00877163">
        <w:rPr>
          <w:sz w:val="22"/>
          <w:szCs w:val="22"/>
        </w:rPr>
        <w:t>Worrell</w:t>
      </w:r>
      <w:r w:rsidR="009210C2" w:rsidRPr="00877163">
        <w:rPr>
          <w:sz w:val="22"/>
          <w:szCs w:val="22"/>
        </w:rPr>
        <w:t>,</w:t>
      </w:r>
      <w:r w:rsidR="004B5EEF" w:rsidRPr="00877163">
        <w:rPr>
          <w:sz w:val="22"/>
          <w:szCs w:val="22"/>
        </w:rPr>
        <w:t xml:space="preserve"> 1992</w:t>
      </w:r>
      <w:r w:rsidR="0031203F" w:rsidRPr="00877163">
        <w:rPr>
          <w:sz w:val="22"/>
          <w:szCs w:val="22"/>
        </w:rPr>
        <w:t>; Hora, Bapuji, &amp; Roth, 2011</w:t>
      </w:r>
      <w:r w:rsidR="00626B51" w:rsidRPr="00877163">
        <w:rPr>
          <w:sz w:val="22"/>
          <w:szCs w:val="22"/>
        </w:rPr>
        <w:t xml:space="preserve">). </w:t>
      </w:r>
      <w:r w:rsidR="008F6CF8" w:rsidRPr="00877163">
        <w:rPr>
          <w:sz w:val="22"/>
          <w:szCs w:val="22"/>
        </w:rPr>
        <w:t xml:space="preserve">This is because </w:t>
      </w:r>
      <w:r w:rsidR="00D26A0C">
        <w:rPr>
          <w:sz w:val="22"/>
          <w:szCs w:val="22"/>
        </w:rPr>
        <w:t xml:space="preserve">product safety </w:t>
      </w:r>
      <w:r w:rsidR="008F6CF8" w:rsidRPr="00877163">
        <w:rPr>
          <w:sz w:val="22"/>
          <w:szCs w:val="22"/>
        </w:rPr>
        <w:t>r</w:t>
      </w:r>
      <w:r w:rsidR="00626B51" w:rsidRPr="00877163">
        <w:rPr>
          <w:sz w:val="22"/>
          <w:szCs w:val="22"/>
        </w:rPr>
        <w:t xml:space="preserve">egulations that </w:t>
      </w:r>
      <w:r w:rsidR="00CE152D">
        <w:rPr>
          <w:sz w:val="22"/>
          <w:szCs w:val="22"/>
        </w:rPr>
        <w:t>do not contain consumer liability</w:t>
      </w:r>
      <w:r w:rsidR="00626B51" w:rsidRPr="00877163">
        <w:rPr>
          <w:sz w:val="22"/>
          <w:szCs w:val="22"/>
        </w:rPr>
        <w:t xml:space="preserve"> </w:t>
      </w:r>
      <w:r w:rsidR="008F6CF8" w:rsidRPr="00877163">
        <w:rPr>
          <w:sz w:val="22"/>
          <w:szCs w:val="22"/>
        </w:rPr>
        <w:t xml:space="preserve">only </w:t>
      </w:r>
      <w:r w:rsidR="00626B51" w:rsidRPr="00877163">
        <w:rPr>
          <w:sz w:val="22"/>
          <w:szCs w:val="22"/>
        </w:rPr>
        <w:t xml:space="preserve">allow consumers to determine whether they want to continue using the product or not and </w:t>
      </w:r>
      <w:r w:rsidR="008F6CF8" w:rsidRPr="00877163">
        <w:rPr>
          <w:sz w:val="22"/>
          <w:szCs w:val="22"/>
        </w:rPr>
        <w:t xml:space="preserve">to </w:t>
      </w:r>
      <w:r w:rsidR="00626B51" w:rsidRPr="00877163">
        <w:rPr>
          <w:sz w:val="22"/>
          <w:szCs w:val="22"/>
        </w:rPr>
        <w:t xml:space="preserve">have their products repaired if they choose to. </w:t>
      </w:r>
      <w:r w:rsidR="008F6CF8" w:rsidRPr="00877163">
        <w:rPr>
          <w:sz w:val="22"/>
          <w:szCs w:val="22"/>
        </w:rPr>
        <w:t xml:space="preserve">A lack of </w:t>
      </w:r>
      <w:r w:rsidR="00CE152D">
        <w:rPr>
          <w:sz w:val="22"/>
          <w:szCs w:val="22"/>
        </w:rPr>
        <w:t>consumer liability</w:t>
      </w:r>
      <w:r w:rsidR="008F6CF8" w:rsidRPr="00877163">
        <w:rPr>
          <w:sz w:val="22"/>
          <w:szCs w:val="22"/>
        </w:rPr>
        <w:t xml:space="preserve"> </w:t>
      </w:r>
      <w:r w:rsidR="00626B51" w:rsidRPr="00877163">
        <w:rPr>
          <w:sz w:val="22"/>
          <w:szCs w:val="22"/>
        </w:rPr>
        <w:t xml:space="preserve">reduces the </w:t>
      </w:r>
      <w:r w:rsidR="003E1680" w:rsidRPr="00877163">
        <w:rPr>
          <w:sz w:val="22"/>
          <w:szCs w:val="22"/>
        </w:rPr>
        <w:t xml:space="preserve">engagement and </w:t>
      </w:r>
      <w:r w:rsidR="00626B51" w:rsidRPr="00877163">
        <w:rPr>
          <w:sz w:val="22"/>
          <w:szCs w:val="22"/>
        </w:rPr>
        <w:t xml:space="preserve">urgency in consumers which then allows the firm more time to debate whether to issue the recall or continue investigating it and determine whether a recall needs to be issued (thereby reducing responsiveness). However, extending </w:t>
      </w:r>
      <w:r w:rsidR="00D26A0C">
        <w:rPr>
          <w:sz w:val="22"/>
          <w:szCs w:val="22"/>
        </w:rPr>
        <w:t xml:space="preserve">product safety </w:t>
      </w:r>
      <w:r w:rsidR="00626B51" w:rsidRPr="00877163">
        <w:rPr>
          <w:sz w:val="22"/>
          <w:szCs w:val="22"/>
        </w:rPr>
        <w:t xml:space="preserve">regulations to compel consumers to act </w:t>
      </w:r>
      <w:r w:rsidR="003E1680" w:rsidRPr="00877163">
        <w:rPr>
          <w:sz w:val="22"/>
          <w:szCs w:val="22"/>
        </w:rPr>
        <w:t xml:space="preserve">as well </w:t>
      </w:r>
      <w:r w:rsidR="00626B51" w:rsidRPr="00877163">
        <w:rPr>
          <w:sz w:val="22"/>
          <w:szCs w:val="22"/>
        </w:rPr>
        <w:t xml:space="preserve">would </w:t>
      </w:r>
      <w:r w:rsidR="0017261C" w:rsidRPr="00877163">
        <w:rPr>
          <w:sz w:val="22"/>
          <w:szCs w:val="22"/>
        </w:rPr>
        <w:t xml:space="preserve">increase </w:t>
      </w:r>
      <w:r w:rsidR="003E1680" w:rsidRPr="00877163">
        <w:rPr>
          <w:sz w:val="22"/>
          <w:szCs w:val="22"/>
        </w:rPr>
        <w:t xml:space="preserve">the engagement and urgency in consumers and accordingly, </w:t>
      </w:r>
      <w:r w:rsidR="0017261C" w:rsidRPr="00877163">
        <w:rPr>
          <w:sz w:val="22"/>
          <w:szCs w:val="22"/>
        </w:rPr>
        <w:t xml:space="preserve">the costs </w:t>
      </w:r>
      <w:r w:rsidR="003E1680" w:rsidRPr="00877163">
        <w:rPr>
          <w:sz w:val="22"/>
          <w:szCs w:val="22"/>
        </w:rPr>
        <w:t xml:space="preserve">that </w:t>
      </w:r>
      <w:r w:rsidR="0017261C" w:rsidRPr="00877163">
        <w:rPr>
          <w:sz w:val="22"/>
          <w:szCs w:val="22"/>
        </w:rPr>
        <w:t>the firm faces with a product recall</w:t>
      </w:r>
      <w:r w:rsidR="003E1680" w:rsidRPr="00877163">
        <w:rPr>
          <w:sz w:val="22"/>
          <w:szCs w:val="22"/>
        </w:rPr>
        <w:t>, prompting firms to issue a necessary recall as soon as they can</w:t>
      </w:r>
      <w:r w:rsidR="0017261C" w:rsidRPr="00877163">
        <w:rPr>
          <w:sz w:val="22"/>
          <w:szCs w:val="22"/>
        </w:rPr>
        <w:t xml:space="preserve">. </w:t>
      </w:r>
      <w:bookmarkStart w:id="3" w:name="_Hlk153910275"/>
      <w:r w:rsidR="00CC1E07" w:rsidRPr="00877163">
        <w:rPr>
          <w:sz w:val="22"/>
          <w:szCs w:val="22"/>
        </w:rPr>
        <w:t xml:space="preserve">Additionally, we </w:t>
      </w:r>
      <w:r w:rsidR="003E1680" w:rsidRPr="00877163">
        <w:rPr>
          <w:sz w:val="22"/>
          <w:szCs w:val="22"/>
        </w:rPr>
        <w:t xml:space="preserve">argue </w:t>
      </w:r>
      <w:r w:rsidR="00CC1E07" w:rsidRPr="00877163">
        <w:rPr>
          <w:sz w:val="22"/>
          <w:szCs w:val="22"/>
        </w:rPr>
        <w:t>that product standardization</w:t>
      </w:r>
      <w:r w:rsidR="00051E3B" w:rsidRPr="00877163">
        <w:rPr>
          <w:sz w:val="22"/>
          <w:szCs w:val="22"/>
        </w:rPr>
        <w:t xml:space="preserve"> </w:t>
      </w:r>
      <w:r w:rsidR="00051E3B" w:rsidRPr="00877163">
        <w:rPr>
          <w:color w:val="242424"/>
          <w:sz w:val="22"/>
          <w:szCs w:val="22"/>
          <w:shd w:val="clear" w:color="auto" w:fill="FFFFFF"/>
        </w:rPr>
        <w:t>across international markets</w:t>
      </w:r>
      <w:r w:rsidR="00CC1E07" w:rsidRPr="00877163">
        <w:rPr>
          <w:sz w:val="22"/>
          <w:szCs w:val="22"/>
        </w:rPr>
        <w:t xml:space="preserve"> increases firm responsiveness in product-harm crises.</w:t>
      </w:r>
      <w:bookmarkEnd w:id="3"/>
    </w:p>
    <w:p w14:paraId="60D5866E" w14:textId="32F1F337" w:rsidR="00CC1E07" w:rsidRPr="00877163" w:rsidRDefault="00CC1E07" w:rsidP="006324E2">
      <w:pPr>
        <w:spacing w:line="480" w:lineRule="auto"/>
        <w:ind w:firstLine="720"/>
        <w:rPr>
          <w:sz w:val="22"/>
          <w:szCs w:val="22"/>
        </w:rPr>
      </w:pPr>
      <w:r w:rsidRPr="00877163">
        <w:rPr>
          <w:sz w:val="22"/>
          <w:szCs w:val="22"/>
        </w:rPr>
        <w:t xml:space="preserve">Operationalizing firm responsiveness as time to recall (Hora et al., 2011; Muralidharan, Hora &amp; Bapuji, 2022), we tested our hypotheses on </w:t>
      </w:r>
      <w:r w:rsidR="006F4332" w:rsidRPr="00877163">
        <w:rPr>
          <w:sz w:val="22"/>
          <w:szCs w:val="22"/>
        </w:rPr>
        <w:t>569</w:t>
      </w:r>
      <w:r w:rsidRPr="00877163">
        <w:rPr>
          <w:sz w:val="22"/>
          <w:szCs w:val="22"/>
        </w:rPr>
        <w:t xml:space="preserve"> recalls issued in four different countries (U.S, U.K, Germany and Australia) during the period. Two of these contexts (U.K and Germany) represent regulatory environments that targets customers, in addition to firms, to have recall</w:t>
      </w:r>
      <w:r w:rsidR="003E1680" w:rsidRPr="00877163">
        <w:rPr>
          <w:sz w:val="22"/>
          <w:szCs w:val="22"/>
        </w:rPr>
        <w:t>ed</w:t>
      </w:r>
      <w:r w:rsidRPr="00877163">
        <w:rPr>
          <w:sz w:val="22"/>
          <w:szCs w:val="22"/>
        </w:rPr>
        <w:t xml:space="preserve"> cars fixed, while the other two (U.S and Australia) only target the firms. We found support for our hypotheses.</w:t>
      </w:r>
    </w:p>
    <w:p w14:paraId="341DDA7F" w14:textId="766EB9F8" w:rsidR="007206AD" w:rsidRPr="00877163" w:rsidRDefault="002746AA" w:rsidP="006324E2">
      <w:pPr>
        <w:spacing w:line="480" w:lineRule="auto"/>
        <w:ind w:firstLine="720"/>
        <w:rPr>
          <w:sz w:val="22"/>
          <w:szCs w:val="22"/>
        </w:rPr>
      </w:pPr>
      <w:r w:rsidRPr="00877163">
        <w:rPr>
          <w:sz w:val="22"/>
          <w:szCs w:val="22"/>
        </w:rPr>
        <w:t xml:space="preserve">Our study </w:t>
      </w:r>
      <w:r w:rsidR="009209F0" w:rsidRPr="00877163">
        <w:rPr>
          <w:sz w:val="22"/>
          <w:szCs w:val="22"/>
        </w:rPr>
        <w:t xml:space="preserve">makes three contributions. First, </w:t>
      </w:r>
      <w:r w:rsidRPr="00877163">
        <w:rPr>
          <w:sz w:val="22"/>
          <w:szCs w:val="22"/>
        </w:rPr>
        <w:t xml:space="preserve">by </w:t>
      </w:r>
      <w:r w:rsidR="009209F0" w:rsidRPr="00877163">
        <w:rPr>
          <w:sz w:val="22"/>
          <w:szCs w:val="22"/>
        </w:rPr>
        <w:t xml:space="preserve">showing </w:t>
      </w:r>
      <w:r w:rsidRPr="00877163">
        <w:rPr>
          <w:sz w:val="22"/>
          <w:szCs w:val="22"/>
        </w:rPr>
        <w:t xml:space="preserve">the </w:t>
      </w:r>
      <w:r w:rsidR="009209F0" w:rsidRPr="00877163">
        <w:rPr>
          <w:sz w:val="22"/>
          <w:szCs w:val="22"/>
        </w:rPr>
        <w:t xml:space="preserve">positive impact of </w:t>
      </w:r>
      <w:r w:rsidR="00D26A0C">
        <w:rPr>
          <w:sz w:val="22"/>
          <w:szCs w:val="22"/>
        </w:rPr>
        <w:t xml:space="preserve">product safety </w:t>
      </w:r>
      <w:r w:rsidR="0017261C" w:rsidRPr="00877163">
        <w:rPr>
          <w:sz w:val="22"/>
          <w:szCs w:val="22"/>
        </w:rPr>
        <w:t xml:space="preserve">regulations </w:t>
      </w:r>
      <w:r w:rsidR="009209F0" w:rsidRPr="00877163">
        <w:rPr>
          <w:sz w:val="22"/>
          <w:szCs w:val="22"/>
        </w:rPr>
        <w:t xml:space="preserve">on </w:t>
      </w:r>
      <w:r w:rsidRPr="00877163">
        <w:rPr>
          <w:sz w:val="22"/>
          <w:szCs w:val="22"/>
        </w:rPr>
        <w:t>firm responsiveness</w:t>
      </w:r>
      <w:r w:rsidR="009209F0" w:rsidRPr="00877163">
        <w:rPr>
          <w:sz w:val="22"/>
          <w:szCs w:val="22"/>
        </w:rPr>
        <w:t>,</w:t>
      </w:r>
      <w:r w:rsidRPr="00877163">
        <w:rPr>
          <w:sz w:val="22"/>
          <w:szCs w:val="22"/>
        </w:rPr>
        <w:t xml:space="preserve"> our study </w:t>
      </w:r>
      <w:r w:rsidR="001F06DB" w:rsidRPr="00877163">
        <w:rPr>
          <w:sz w:val="22"/>
          <w:szCs w:val="22"/>
        </w:rPr>
        <w:t xml:space="preserve">nuances prior research on international business, which has </w:t>
      </w:r>
      <w:r w:rsidR="001F06DB" w:rsidRPr="00877163">
        <w:rPr>
          <w:sz w:val="22"/>
          <w:szCs w:val="22"/>
        </w:rPr>
        <w:lastRenderedPageBreak/>
        <w:t>commonly examined the negative consequences of</w:t>
      </w:r>
      <w:r w:rsidR="007132B9">
        <w:rPr>
          <w:sz w:val="22"/>
          <w:szCs w:val="22"/>
        </w:rPr>
        <w:t xml:space="preserve"> product safety</w:t>
      </w:r>
      <w:r w:rsidR="001F06DB" w:rsidRPr="00877163">
        <w:rPr>
          <w:sz w:val="22"/>
          <w:szCs w:val="22"/>
        </w:rPr>
        <w:t xml:space="preserve"> regulations on firms. Further, by </w:t>
      </w:r>
      <w:r w:rsidRPr="00877163">
        <w:rPr>
          <w:sz w:val="22"/>
          <w:szCs w:val="22"/>
        </w:rPr>
        <w:t xml:space="preserve">examining the wider issue of </w:t>
      </w:r>
      <w:r w:rsidR="00DF0987" w:rsidRPr="00877163">
        <w:rPr>
          <w:sz w:val="22"/>
          <w:szCs w:val="22"/>
        </w:rPr>
        <w:t xml:space="preserve">regulatory environments that </w:t>
      </w:r>
      <w:proofErr w:type="spellStart"/>
      <w:r w:rsidR="00DF0987" w:rsidRPr="00877163">
        <w:rPr>
          <w:sz w:val="22"/>
          <w:szCs w:val="22"/>
        </w:rPr>
        <w:t>favor</w:t>
      </w:r>
      <w:proofErr w:type="spellEnd"/>
      <w:r w:rsidR="00DF0987" w:rsidRPr="00877163">
        <w:rPr>
          <w:sz w:val="22"/>
          <w:szCs w:val="22"/>
        </w:rPr>
        <w:t xml:space="preserve"> either </w:t>
      </w:r>
      <w:r w:rsidRPr="00877163">
        <w:rPr>
          <w:sz w:val="22"/>
          <w:szCs w:val="22"/>
        </w:rPr>
        <w:t xml:space="preserve">individual rights </w:t>
      </w:r>
      <w:r w:rsidR="00DF0987" w:rsidRPr="00877163">
        <w:rPr>
          <w:sz w:val="22"/>
          <w:szCs w:val="22"/>
        </w:rPr>
        <w:t>or</w:t>
      </w:r>
      <w:r w:rsidRPr="00877163">
        <w:rPr>
          <w:sz w:val="22"/>
          <w:szCs w:val="22"/>
        </w:rPr>
        <w:t xml:space="preserve"> </w:t>
      </w:r>
      <w:r w:rsidR="0017261C" w:rsidRPr="00877163">
        <w:rPr>
          <w:sz w:val="22"/>
          <w:szCs w:val="22"/>
        </w:rPr>
        <w:t xml:space="preserve">collective </w:t>
      </w:r>
      <w:r w:rsidRPr="00877163">
        <w:rPr>
          <w:sz w:val="22"/>
          <w:szCs w:val="22"/>
        </w:rPr>
        <w:t>safety</w:t>
      </w:r>
      <w:r w:rsidR="001F06DB" w:rsidRPr="00877163">
        <w:rPr>
          <w:sz w:val="22"/>
          <w:szCs w:val="22"/>
        </w:rPr>
        <w:t>, our study opens up avenues to examine similar dilemmas that exist with respect to regulations</w:t>
      </w:r>
      <w:r w:rsidRPr="00877163">
        <w:rPr>
          <w:sz w:val="22"/>
          <w:szCs w:val="22"/>
        </w:rPr>
        <w:t xml:space="preserve">. Second, our study contributes to the research on product-harm crises by examining firm actions before a recall, an area that is receiving increasing attention from </w:t>
      </w:r>
      <w:r w:rsidR="003E1680" w:rsidRPr="00877163">
        <w:rPr>
          <w:sz w:val="22"/>
          <w:szCs w:val="22"/>
        </w:rPr>
        <w:t>organizational research</w:t>
      </w:r>
      <w:r w:rsidRPr="00877163">
        <w:rPr>
          <w:sz w:val="22"/>
          <w:szCs w:val="22"/>
        </w:rPr>
        <w:t xml:space="preserve"> and practice (</w:t>
      </w:r>
      <w:r w:rsidR="009210C2" w:rsidRPr="00877163">
        <w:rPr>
          <w:sz w:val="22"/>
          <w:szCs w:val="22"/>
        </w:rPr>
        <w:t xml:space="preserve">Bapuji &amp; Beamish, 2019; </w:t>
      </w:r>
      <w:r w:rsidR="00CB5614" w:rsidRPr="00877163">
        <w:rPr>
          <w:sz w:val="22"/>
          <w:szCs w:val="22"/>
        </w:rPr>
        <w:t xml:space="preserve">Chen, Ganesan, </w:t>
      </w:r>
      <w:r w:rsidR="0017261C" w:rsidRPr="00877163">
        <w:rPr>
          <w:sz w:val="22"/>
          <w:szCs w:val="22"/>
        </w:rPr>
        <w:t xml:space="preserve">&amp; </w:t>
      </w:r>
      <w:r w:rsidR="00CB5614" w:rsidRPr="00877163">
        <w:rPr>
          <w:sz w:val="22"/>
          <w:szCs w:val="22"/>
        </w:rPr>
        <w:t>Liu</w:t>
      </w:r>
      <w:r w:rsidR="009210C2" w:rsidRPr="00877163">
        <w:rPr>
          <w:sz w:val="22"/>
          <w:szCs w:val="22"/>
        </w:rPr>
        <w:t>,</w:t>
      </w:r>
      <w:r w:rsidR="00CB5614" w:rsidRPr="00877163">
        <w:rPr>
          <w:sz w:val="22"/>
          <w:szCs w:val="22"/>
        </w:rPr>
        <w:t xml:space="preserve"> 2009; </w:t>
      </w:r>
      <w:r w:rsidR="00353437" w:rsidRPr="00877163">
        <w:rPr>
          <w:sz w:val="22"/>
          <w:szCs w:val="22"/>
        </w:rPr>
        <w:t>Eilert et al., 2017</w:t>
      </w:r>
      <w:r w:rsidRPr="00877163">
        <w:rPr>
          <w:sz w:val="22"/>
          <w:szCs w:val="22"/>
        </w:rPr>
        <w:t>), as well as enhanced scrutiny from regulators</w:t>
      </w:r>
      <w:r w:rsidR="00353437" w:rsidRPr="00877163">
        <w:rPr>
          <w:sz w:val="22"/>
          <w:szCs w:val="22"/>
        </w:rPr>
        <w:t xml:space="preserve"> (Bae </w:t>
      </w:r>
      <w:r w:rsidR="0017261C" w:rsidRPr="00877163">
        <w:rPr>
          <w:sz w:val="22"/>
          <w:szCs w:val="22"/>
        </w:rPr>
        <w:t xml:space="preserve">&amp; </w:t>
      </w:r>
      <w:r w:rsidR="00353437" w:rsidRPr="00877163">
        <w:rPr>
          <w:sz w:val="22"/>
          <w:szCs w:val="22"/>
        </w:rPr>
        <w:t>Benitez-Silva</w:t>
      </w:r>
      <w:r w:rsidR="009210C2" w:rsidRPr="00877163">
        <w:rPr>
          <w:sz w:val="22"/>
          <w:szCs w:val="22"/>
        </w:rPr>
        <w:t>,</w:t>
      </w:r>
      <w:r w:rsidR="00353437" w:rsidRPr="00877163">
        <w:rPr>
          <w:sz w:val="22"/>
          <w:szCs w:val="22"/>
        </w:rPr>
        <w:t xml:space="preserve"> 2010</w:t>
      </w:r>
      <w:r w:rsidR="003E1680" w:rsidRPr="00877163">
        <w:rPr>
          <w:sz w:val="22"/>
          <w:szCs w:val="22"/>
        </w:rPr>
        <w:t>; Li et al., 2022</w:t>
      </w:r>
      <w:r w:rsidR="00353437" w:rsidRPr="00877163">
        <w:rPr>
          <w:sz w:val="22"/>
          <w:szCs w:val="22"/>
        </w:rPr>
        <w:t>)</w:t>
      </w:r>
      <w:r w:rsidRPr="00877163">
        <w:rPr>
          <w:sz w:val="22"/>
          <w:szCs w:val="22"/>
        </w:rPr>
        <w:t>.</w:t>
      </w:r>
      <w:r w:rsidR="001F06DB" w:rsidRPr="00877163">
        <w:rPr>
          <w:sz w:val="22"/>
          <w:szCs w:val="22"/>
        </w:rPr>
        <w:t xml:space="preserve"> Third, our findings offer important implications with respect to international business policy at the firm and societal levels.</w:t>
      </w:r>
    </w:p>
    <w:p w14:paraId="02935331" w14:textId="77777777" w:rsidR="00EF109D" w:rsidRDefault="00EF109D" w:rsidP="00F276E7">
      <w:pPr>
        <w:spacing w:line="480" w:lineRule="auto"/>
        <w:rPr>
          <w:b/>
          <w:sz w:val="28"/>
          <w:szCs w:val="28"/>
        </w:rPr>
      </w:pPr>
    </w:p>
    <w:p w14:paraId="75B16395" w14:textId="7B68E7D8" w:rsidR="00EF298E" w:rsidRPr="00ED4879" w:rsidRDefault="00EF298E" w:rsidP="00F276E7">
      <w:pPr>
        <w:spacing w:line="480" w:lineRule="auto"/>
        <w:rPr>
          <w:sz w:val="28"/>
          <w:szCs w:val="28"/>
        </w:rPr>
      </w:pPr>
      <w:r w:rsidRPr="00ED4879">
        <w:rPr>
          <w:b/>
          <w:sz w:val="28"/>
          <w:szCs w:val="28"/>
        </w:rPr>
        <w:t>THEORETICAL BACKGROUND</w:t>
      </w:r>
    </w:p>
    <w:p w14:paraId="31464E7B" w14:textId="5A495F25" w:rsidR="00EF298E" w:rsidRPr="00ED4879" w:rsidRDefault="00EF298E" w:rsidP="006324E2">
      <w:pPr>
        <w:spacing w:line="480" w:lineRule="auto"/>
        <w:rPr>
          <w:b/>
          <w:bCs/>
          <w:sz w:val="22"/>
          <w:szCs w:val="22"/>
        </w:rPr>
      </w:pPr>
      <w:r w:rsidRPr="00ED4879">
        <w:rPr>
          <w:b/>
          <w:bCs/>
          <w:sz w:val="22"/>
          <w:szCs w:val="22"/>
        </w:rPr>
        <w:t xml:space="preserve">Public </w:t>
      </w:r>
      <w:r w:rsidR="006324E2">
        <w:rPr>
          <w:b/>
          <w:bCs/>
          <w:sz w:val="22"/>
          <w:szCs w:val="22"/>
        </w:rPr>
        <w:t>s</w:t>
      </w:r>
      <w:r w:rsidRPr="00ED4879">
        <w:rPr>
          <w:b/>
          <w:bCs/>
          <w:sz w:val="22"/>
          <w:szCs w:val="22"/>
        </w:rPr>
        <w:t xml:space="preserve">afety and </w:t>
      </w:r>
      <w:r w:rsidR="006324E2">
        <w:rPr>
          <w:b/>
          <w:bCs/>
          <w:sz w:val="22"/>
          <w:szCs w:val="22"/>
        </w:rPr>
        <w:t>c</w:t>
      </w:r>
      <w:r w:rsidRPr="00ED4879">
        <w:rPr>
          <w:b/>
          <w:bCs/>
          <w:sz w:val="22"/>
          <w:szCs w:val="22"/>
        </w:rPr>
        <w:t xml:space="preserve">onsumer </w:t>
      </w:r>
      <w:r w:rsidR="006324E2">
        <w:rPr>
          <w:b/>
          <w:bCs/>
          <w:sz w:val="22"/>
          <w:szCs w:val="22"/>
        </w:rPr>
        <w:t>c</w:t>
      </w:r>
      <w:r w:rsidRPr="00ED4879">
        <w:rPr>
          <w:b/>
          <w:bCs/>
          <w:sz w:val="22"/>
          <w:szCs w:val="22"/>
        </w:rPr>
        <w:t xml:space="preserve">hoice – Policy </w:t>
      </w:r>
      <w:r w:rsidR="006324E2">
        <w:rPr>
          <w:b/>
          <w:bCs/>
          <w:sz w:val="22"/>
          <w:szCs w:val="22"/>
        </w:rPr>
        <w:t>d</w:t>
      </w:r>
      <w:r w:rsidRPr="00ED4879">
        <w:rPr>
          <w:b/>
          <w:bCs/>
          <w:sz w:val="22"/>
          <w:szCs w:val="22"/>
        </w:rPr>
        <w:t>ilemmas</w:t>
      </w:r>
    </w:p>
    <w:p w14:paraId="0EF5B8D7" w14:textId="17B425E3" w:rsidR="00EF298E" w:rsidRPr="00ED4879" w:rsidRDefault="005342CE" w:rsidP="00ED4879">
      <w:pPr>
        <w:spacing w:line="480" w:lineRule="auto"/>
        <w:ind w:firstLine="720"/>
        <w:rPr>
          <w:sz w:val="22"/>
          <w:szCs w:val="22"/>
        </w:rPr>
      </w:pPr>
      <w:r w:rsidRPr="00ED4879">
        <w:rPr>
          <w:sz w:val="22"/>
          <w:szCs w:val="22"/>
        </w:rPr>
        <w:t>Regulations, in an open market, are designed to reduce opportunism on the part of firms by holding them accountable for what they produce</w:t>
      </w:r>
      <w:r w:rsidR="00B40B29" w:rsidRPr="00ED4879">
        <w:rPr>
          <w:sz w:val="22"/>
          <w:szCs w:val="22"/>
        </w:rPr>
        <w:t>. As such</w:t>
      </w:r>
      <w:r w:rsidRPr="00ED4879">
        <w:rPr>
          <w:sz w:val="22"/>
          <w:szCs w:val="22"/>
        </w:rPr>
        <w:t xml:space="preserve">, </w:t>
      </w:r>
      <w:r w:rsidR="00B40B29" w:rsidRPr="00ED4879">
        <w:rPr>
          <w:sz w:val="22"/>
          <w:szCs w:val="22"/>
        </w:rPr>
        <w:t xml:space="preserve">regulations </w:t>
      </w:r>
      <w:r w:rsidRPr="00ED4879">
        <w:rPr>
          <w:sz w:val="22"/>
          <w:szCs w:val="22"/>
        </w:rPr>
        <w:t>become a form of multilateral reputation creation</w:t>
      </w:r>
      <w:r w:rsidR="005A1B27" w:rsidRPr="00ED4879">
        <w:rPr>
          <w:sz w:val="22"/>
          <w:szCs w:val="22"/>
        </w:rPr>
        <w:t xml:space="preserve"> </w:t>
      </w:r>
      <w:r w:rsidR="006D6BE7" w:rsidRPr="00ED4879">
        <w:rPr>
          <w:sz w:val="22"/>
          <w:szCs w:val="22"/>
        </w:rPr>
        <w:t>by allowing firms who can abide by the regulation to signal their quality</w:t>
      </w:r>
      <w:r w:rsidRPr="00ED4879">
        <w:rPr>
          <w:sz w:val="22"/>
          <w:szCs w:val="22"/>
        </w:rPr>
        <w:t xml:space="preserve"> (Mudambi &amp; Navarra, 2002). </w:t>
      </w:r>
      <w:r w:rsidR="00EF298E" w:rsidRPr="00ED4879">
        <w:rPr>
          <w:sz w:val="22"/>
          <w:szCs w:val="22"/>
        </w:rPr>
        <w:t xml:space="preserve">In this study, we compare </w:t>
      </w:r>
      <w:r w:rsidR="00D37F71">
        <w:rPr>
          <w:sz w:val="22"/>
          <w:szCs w:val="22"/>
        </w:rPr>
        <w:t xml:space="preserve">product safety </w:t>
      </w:r>
      <w:r w:rsidR="00EF298E" w:rsidRPr="00ED4879">
        <w:rPr>
          <w:sz w:val="22"/>
          <w:szCs w:val="22"/>
        </w:rPr>
        <w:t xml:space="preserve">regulations that </w:t>
      </w:r>
      <w:r w:rsidR="00D37F71">
        <w:rPr>
          <w:sz w:val="22"/>
          <w:szCs w:val="22"/>
        </w:rPr>
        <w:t xml:space="preserve">make the consumer </w:t>
      </w:r>
      <w:r w:rsidR="00910DE4">
        <w:rPr>
          <w:sz w:val="22"/>
          <w:szCs w:val="22"/>
        </w:rPr>
        <w:t>liable</w:t>
      </w:r>
      <w:r w:rsidR="00D37F71">
        <w:rPr>
          <w:sz w:val="22"/>
          <w:szCs w:val="22"/>
        </w:rPr>
        <w:t xml:space="preserve"> for action</w:t>
      </w:r>
      <w:r w:rsidR="00EF298E" w:rsidRPr="00ED4879">
        <w:rPr>
          <w:sz w:val="22"/>
          <w:szCs w:val="22"/>
        </w:rPr>
        <w:t xml:space="preserve"> as well as the firm with regulations that target the firm only. In the context of product recalls </w:t>
      </w:r>
      <w:r w:rsidR="00D37F71">
        <w:rPr>
          <w:sz w:val="22"/>
          <w:szCs w:val="22"/>
        </w:rPr>
        <w:t xml:space="preserve">product safety </w:t>
      </w:r>
      <w:r w:rsidR="00EF298E" w:rsidRPr="00ED4879">
        <w:rPr>
          <w:sz w:val="22"/>
          <w:szCs w:val="22"/>
        </w:rPr>
        <w:t>regulations that penalize consumers for not having their vehicles fixed would be considered a regulation that focuses on the firm a</w:t>
      </w:r>
      <w:r w:rsidR="00D37F71">
        <w:rPr>
          <w:sz w:val="22"/>
          <w:szCs w:val="22"/>
        </w:rPr>
        <w:t xml:space="preserve">nd </w:t>
      </w:r>
      <w:r w:rsidR="00910DE4">
        <w:rPr>
          <w:sz w:val="22"/>
          <w:szCs w:val="22"/>
        </w:rPr>
        <w:t>includes consumer liability</w:t>
      </w:r>
      <w:r w:rsidR="00EF298E" w:rsidRPr="00ED4879">
        <w:rPr>
          <w:sz w:val="22"/>
          <w:szCs w:val="22"/>
        </w:rPr>
        <w:t xml:space="preserve">. By </w:t>
      </w:r>
      <w:r w:rsidR="00910DE4">
        <w:rPr>
          <w:sz w:val="22"/>
          <w:szCs w:val="22"/>
        </w:rPr>
        <w:t>including consumer liability</w:t>
      </w:r>
      <w:r w:rsidR="00D37F71">
        <w:rPr>
          <w:sz w:val="22"/>
          <w:szCs w:val="22"/>
        </w:rPr>
        <w:t>,</w:t>
      </w:r>
      <w:r w:rsidR="00EF298E" w:rsidRPr="00ED4879">
        <w:rPr>
          <w:sz w:val="22"/>
          <w:szCs w:val="22"/>
        </w:rPr>
        <w:t xml:space="preserve"> policy makers have taken away a consumer’s choice to act (or not act) and imposed a cost on to consumers. The rationale for compelling consumers to act is often rooted in the duty policy makers have to protect the public. A fundamental outcome of consumption is the creation of negative externalities (Kotler, 2011). For example, an automobile manufacturer sells cars, but the cost of pollution is a negative externality that increases with each additional car sold. Therefore, public policy seeks to balance the negative externalities while allowing for private enterprise to flourish. If regulations are too constraining </w:t>
      </w:r>
      <w:r w:rsidR="00EF298E" w:rsidRPr="00ED4879">
        <w:rPr>
          <w:sz w:val="22"/>
          <w:szCs w:val="22"/>
        </w:rPr>
        <w:lastRenderedPageBreak/>
        <w:t xml:space="preserve">on businesses, </w:t>
      </w:r>
      <w:r w:rsidR="00B40B29" w:rsidRPr="00ED4879">
        <w:rPr>
          <w:sz w:val="22"/>
          <w:szCs w:val="22"/>
        </w:rPr>
        <w:t>they may increase</w:t>
      </w:r>
      <w:r w:rsidR="00EF298E" w:rsidRPr="00ED4879">
        <w:rPr>
          <w:sz w:val="22"/>
          <w:szCs w:val="22"/>
        </w:rPr>
        <w:t xml:space="preserve"> costs for consumers and limit their choice, </w:t>
      </w:r>
      <w:r w:rsidR="0053231F" w:rsidRPr="00ED4879">
        <w:rPr>
          <w:sz w:val="22"/>
          <w:szCs w:val="22"/>
        </w:rPr>
        <w:t>and subsequently</w:t>
      </w:r>
      <w:r w:rsidR="00EF298E" w:rsidRPr="00ED4879">
        <w:rPr>
          <w:sz w:val="22"/>
          <w:szCs w:val="22"/>
        </w:rPr>
        <w:t>, reduc</w:t>
      </w:r>
      <w:r w:rsidR="00B40B29" w:rsidRPr="00ED4879">
        <w:rPr>
          <w:sz w:val="22"/>
          <w:szCs w:val="22"/>
        </w:rPr>
        <w:t>e</w:t>
      </w:r>
      <w:r w:rsidR="00EF298E" w:rsidRPr="00ED4879">
        <w:rPr>
          <w:sz w:val="22"/>
          <w:szCs w:val="22"/>
        </w:rPr>
        <w:t xml:space="preserve"> demand (Kostova, Roth, &amp; Dacin, 2008).</w:t>
      </w:r>
      <w:r w:rsidR="005E6DA4" w:rsidRPr="00ED4879">
        <w:rPr>
          <w:sz w:val="22"/>
          <w:szCs w:val="22"/>
        </w:rPr>
        <w:t xml:space="preserve"> </w:t>
      </w:r>
    </w:p>
    <w:p w14:paraId="7E0D0EA8" w14:textId="48DB7265" w:rsidR="00EF298E" w:rsidRPr="00ED4879" w:rsidRDefault="00EF298E" w:rsidP="006324E2">
      <w:pPr>
        <w:spacing w:line="480" w:lineRule="auto"/>
        <w:ind w:firstLine="720"/>
        <w:rPr>
          <w:sz w:val="22"/>
          <w:szCs w:val="22"/>
        </w:rPr>
      </w:pPr>
      <w:r w:rsidRPr="00ED4879">
        <w:rPr>
          <w:sz w:val="22"/>
          <w:szCs w:val="22"/>
        </w:rPr>
        <w:t xml:space="preserve">The challenge that policy makers face when reducing the freedoms of consumers is to establish that the gains to public safety would outweigh the costs imposed on consumers. In 1984 the minimum drinking age was increased to 21 years of age nationally in the </w:t>
      </w:r>
      <w:r w:rsidR="000A1B0A" w:rsidRPr="00ED4879">
        <w:rPr>
          <w:sz w:val="22"/>
          <w:szCs w:val="22"/>
        </w:rPr>
        <w:t>U.S</w:t>
      </w:r>
      <w:r w:rsidRPr="00ED4879">
        <w:rPr>
          <w:sz w:val="22"/>
          <w:szCs w:val="22"/>
        </w:rPr>
        <w:t>. Previously, many states had set the minimum drinking age at 18 years. The impetus for the change was the rising number of alcohol-related car crashes which was then considered a public health crisis (</w:t>
      </w:r>
      <w:proofErr w:type="spellStart"/>
      <w:r w:rsidRPr="00ED4879">
        <w:rPr>
          <w:sz w:val="22"/>
          <w:szCs w:val="22"/>
        </w:rPr>
        <w:t>Voas</w:t>
      </w:r>
      <w:proofErr w:type="spellEnd"/>
      <w:r w:rsidRPr="00ED4879">
        <w:rPr>
          <w:sz w:val="22"/>
          <w:szCs w:val="22"/>
        </w:rPr>
        <w:t>, Tippetts, &amp; Fell, 2003). Policy makers at that time argued that intoxicated drivers were not only a danger to themselves but to others on the road</w:t>
      </w:r>
      <w:r w:rsidR="000A1B0A" w:rsidRPr="00ED4879">
        <w:rPr>
          <w:sz w:val="22"/>
          <w:szCs w:val="22"/>
        </w:rPr>
        <w:t>,</w:t>
      </w:r>
      <w:r w:rsidRPr="00ED4879">
        <w:rPr>
          <w:sz w:val="22"/>
          <w:szCs w:val="22"/>
        </w:rPr>
        <w:t xml:space="preserve"> which made intoxication a public health crisis. Once intoxicated driving was viewed as a public health crisis</w:t>
      </w:r>
      <w:r w:rsidR="000A1B0A" w:rsidRPr="00ED4879">
        <w:rPr>
          <w:sz w:val="22"/>
          <w:szCs w:val="22"/>
        </w:rPr>
        <w:t>,</w:t>
      </w:r>
      <w:r w:rsidRPr="00ED4879">
        <w:rPr>
          <w:sz w:val="22"/>
          <w:szCs w:val="22"/>
        </w:rPr>
        <w:t xml:space="preserve"> the public at large supported imposing increased restrictions (</w:t>
      </w:r>
      <w:proofErr w:type="spellStart"/>
      <w:r w:rsidRPr="00ED4879">
        <w:rPr>
          <w:sz w:val="22"/>
          <w:szCs w:val="22"/>
        </w:rPr>
        <w:t>Voas</w:t>
      </w:r>
      <w:proofErr w:type="spellEnd"/>
      <w:r w:rsidR="000A1B0A" w:rsidRPr="00ED4879">
        <w:rPr>
          <w:sz w:val="22"/>
          <w:szCs w:val="22"/>
        </w:rPr>
        <w:t xml:space="preserve"> et al.</w:t>
      </w:r>
      <w:r w:rsidRPr="00ED4879">
        <w:rPr>
          <w:sz w:val="22"/>
          <w:szCs w:val="22"/>
        </w:rPr>
        <w:t>, 2003).</w:t>
      </w:r>
      <w:r w:rsidR="00547CBF" w:rsidRPr="00ED4879">
        <w:rPr>
          <w:sz w:val="22"/>
          <w:szCs w:val="22"/>
        </w:rPr>
        <w:tab/>
      </w:r>
    </w:p>
    <w:p w14:paraId="4AAFA1F5" w14:textId="707E7CA4" w:rsidR="003E45DF" w:rsidRPr="00ED4879" w:rsidRDefault="00EF298E" w:rsidP="006324E2">
      <w:pPr>
        <w:spacing w:line="480" w:lineRule="auto"/>
        <w:ind w:firstLine="720"/>
        <w:rPr>
          <w:sz w:val="22"/>
          <w:szCs w:val="22"/>
        </w:rPr>
      </w:pPr>
      <w:r w:rsidRPr="00ED4879">
        <w:rPr>
          <w:sz w:val="22"/>
          <w:szCs w:val="22"/>
        </w:rPr>
        <w:t>Further complicating the debate between consumer freedom and public safety is where should regulations be directed. Limitations on consumer freedom can occur when regulators target the manufacturers and/or consumers. In the case of gun regulations, restrictions on the types of firearms that are permitted to be sold are focused on manufacturers</w:t>
      </w:r>
      <w:r w:rsidR="000A1B0A" w:rsidRPr="00ED4879">
        <w:rPr>
          <w:sz w:val="22"/>
          <w:szCs w:val="22"/>
        </w:rPr>
        <w:t>,</w:t>
      </w:r>
      <w:r w:rsidRPr="00ED4879">
        <w:rPr>
          <w:sz w:val="22"/>
          <w:szCs w:val="22"/>
        </w:rPr>
        <w:t xml:space="preserve"> while restrictions pertaining to the registration of firearms are imposed on consumers. When regulations are imposed on manufacturers, they are often met with </w:t>
      </w:r>
      <w:r w:rsidR="000A1B0A" w:rsidRPr="00ED4879">
        <w:rPr>
          <w:sz w:val="22"/>
          <w:szCs w:val="22"/>
        </w:rPr>
        <w:t xml:space="preserve">relatively </w:t>
      </w:r>
      <w:r w:rsidRPr="00ED4879">
        <w:rPr>
          <w:sz w:val="22"/>
          <w:szCs w:val="22"/>
        </w:rPr>
        <w:t>less resistance because of their uniform distribution (Sperling et al., 2004). However, when regulations target consumers and cause consumers to act, they are often met with consumer resistance</w:t>
      </w:r>
      <w:r w:rsidR="000A1B0A" w:rsidRPr="00ED4879">
        <w:rPr>
          <w:sz w:val="22"/>
          <w:szCs w:val="22"/>
        </w:rPr>
        <w:t>, as evidenced when a nationwide ban on plastic bags was enacted in Chile in 2019</w:t>
      </w:r>
      <w:r w:rsidRPr="00ED4879">
        <w:rPr>
          <w:sz w:val="22"/>
          <w:szCs w:val="22"/>
        </w:rPr>
        <w:t xml:space="preserve"> (Sandberg, 2021). </w:t>
      </w:r>
    </w:p>
    <w:p w14:paraId="1C9B0FDF" w14:textId="49CC63FF" w:rsidR="00EF298E" w:rsidRPr="00ED4879" w:rsidRDefault="00EF298E" w:rsidP="006324E2">
      <w:pPr>
        <w:spacing w:line="480" w:lineRule="auto"/>
        <w:ind w:firstLine="720"/>
        <w:rPr>
          <w:sz w:val="22"/>
          <w:szCs w:val="22"/>
        </w:rPr>
      </w:pPr>
      <w:r w:rsidRPr="00ED4879">
        <w:rPr>
          <w:sz w:val="22"/>
          <w:szCs w:val="22"/>
        </w:rPr>
        <w:t xml:space="preserve">The theoretical </w:t>
      </w:r>
      <w:r w:rsidR="000A1B0A" w:rsidRPr="00ED4879">
        <w:rPr>
          <w:sz w:val="22"/>
          <w:szCs w:val="22"/>
        </w:rPr>
        <w:t xml:space="preserve">explanation </w:t>
      </w:r>
      <w:r w:rsidRPr="00ED4879">
        <w:rPr>
          <w:sz w:val="22"/>
          <w:szCs w:val="22"/>
        </w:rPr>
        <w:t xml:space="preserve">for why consumers were angered by a regulation that targeted them directly is psychological reactance, the discomfort </w:t>
      </w:r>
      <w:r w:rsidR="000A1B0A" w:rsidRPr="00ED4879">
        <w:rPr>
          <w:sz w:val="22"/>
          <w:szCs w:val="22"/>
        </w:rPr>
        <w:t xml:space="preserve">individuals </w:t>
      </w:r>
      <w:r w:rsidRPr="00ED4879">
        <w:rPr>
          <w:sz w:val="22"/>
          <w:szCs w:val="22"/>
        </w:rPr>
        <w:t xml:space="preserve">feel when </w:t>
      </w:r>
      <w:r w:rsidR="000A1B0A" w:rsidRPr="00ED4879">
        <w:rPr>
          <w:sz w:val="22"/>
          <w:szCs w:val="22"/>
        </w:rPr>
        <w:t xml:space="preserve">their </w:t>
      </w:r>
      <w:r w:rsidRPr="00ED4879">
        <w:rPr>
          <w:sz w:val="22"/>
          <w:szCs w:val="22"/>
        </w:rPr>
        <w:t xml:space="preserve">freedoms are threatened or reduced (Clee &amp; Wicklund, 1980; Laurin et al., 2013; Sandberg, 2021). Based on the theory of psychological reactance, consumers feel an aversion when their freedoms are threatened or reduced even if it is done for their benefit (Laurin et al., 2013). In terms of consumption, consumers generally feel freedom to use their products as they see fit (Clee and Wicklund 1980). Therefore, when regulations limit the ability of consumers to enjoy their products or as in the above example, require them to take </w:t>
      </w:r>
      <w:r w:rsidRPr="00ED4879">
        <w:rPr>
          <w:sz w:val="22"/>
          <w:szCs w:val="22"/>
        </w:rPr>
        <w:lastRenderedPageBreak/>
        <w:t xml:space="preserve">additional steps before they can enjoy their cars, a negative state of motivational arousal is </w:t>
      </w:r>
      <w:r w:rsidR="00DC51DE" w:rsidRPr="00ED4879">
        <w:rPr>
          <w:sz w:val="22"/>
          <w:szCs w:val="22"/>
        </w:rPr>
        <w:t>created,</w:t>
      </w:r>
      <w:r w:rsidRPr="00ED4879">
        <w:rPr>
          <w:sz w:val="22"/>
          <w:szCs w:val="22"/>
        </w:rPr>
        <w:t xml:space="preserve"> and the response is to act in order to restore one’s freedom (Clee &amp; Wicklund, 1980). </w:t>
      </w:r>
    </w:p>
    <w:p w14:paraId="0AC1B5D5" w14:textId="5C1114EE" w:rsidR="005F43AF" w:rsidRPr="00BD340E" w:rsidRDefault="00EF298E" w:rsidP="006324E2">
      <w:pPr>
        <w:spacing w:line="480" w:lineRule="auto"/>
        <w:rPr>
          <w:b/>
          <w:sz w:val="22"/>
          <w:szCs w:val="22"/>
        </w:rPr>
      </w:pPr>
      <w:r w:rsidRPr="00ED4879">
        <w:rPr>
          <w:b/>
          <w:sz w:val="22"/>
          <w:szCs w:val="22"/>
        </w:rPr>
        <w:t xml:space="preserve">Product </w:t>
      </w:r>
      <w:r w:rsidR="006324E2">
        <w:rPr>
          <w:b/>
          <w:sz w:val="22"/>
          <w:szCs w:val="22"/>
        </w:rPr>
        <w:t>r</w:t>
      </w:r>
      <w:r w:rsidRPr="00BD340E">
        <w:rPr>
          <w:b/>
          <w:sz w:val="22"/>
          <w:szCs w:val="22"/>
        </w:rPr>
        <w:t>ecalls</w:t>
      </w:r>
    </w:p>
    <w:p w14:paraId="2CDB63C0" w14:textId="7101E04B" w:rsidR="00D04A87" w:rsidRPr="00BD340E" w:rsidRDefault="00977E2A" w:rsidP="00BD340E">
      <w:pPr>
        <w:spacing w:line="480" w:lineRule="auto"/>
        <w:ind w:firstLine="720"/>
        <w:rPr>
          <w:sz w:val="22"/>
          <w:szCs w:val="22"/>
        </w:rPr>
      </w:pPr>
      <w:r w:rsidRPr="00BD340E">
        <w:rPr>
          <w:sz w:val="22"/>
          <w:szCs w:val="22"/>
        </w:rPr>
        <w:t xml:space="preserve">Each year, millions of </w:t>
      </w:r>
      <w:r w:rsidR="003E1680" w:rsidRPr="00BD340E">
        <w:rPr>
          <w:sz w:val="22"/>
          <w:szCs w:val="22"/>
        </w:rPr>
        <w:t xml:space="preserve">units of </w:t>
      </w:r>
      <w:r w:rsidRPr="00BD340E">
        <w:rPr>
          <w:sz w:val="22"/>
          <w:szCs w:val="22"/>
        </w:rPr>
        <w:t>product</w:t>
      </w:r>
      <w:r w:rsidR="003E1680" w:rsidRPr="00BD340E">
        <w:rPr>
          <w:sz w:val="22"/>
          <w:szCs w:val="22"/>
        </w:rPr>
        <w:t>s</w:t>
      </w:r>
      <w:r w:rsidR="00BD13A9" w:rsidRPr="00BD340E">
        <w:rPr>
          <w:sz w:val="22"/>
          <w:szCs w:val="22"/>
        </w:rPr>
        <w:t xml:space="preserve"> ranging from toys to automobiles </w:t>
      </w:r>
      <w:r w:rsidRPr="00BD340E">
        <w:rPr>
          <w:sz w:val="22"/>
          <w:szCs w:val="22"/>
        </w:rPr>
        <w:t xml:space="preserve">are recalled </w:t>
      </w:r>
      <w:r w:rsidR="00BD13A9" w:rsidRPr="00BD340E">
        <w:rPr>
          <w:sz w:val="22"/>
          <w:szCs w:val="22"/>
        </w:rPr>
        <w:t xml:space="preserve">around the world </w:t>
      </w:r>
      <w:r w:rsidRPr="00BD340E">
        <w:rPr>
          <w:sz w:val="22"/>
          <w:szCs w:val="22"/>
        </w:rPr>
        <w:t>when flaw</w:t>
      </w:r>
      <w:r w:rsidR="00BD13A9" w:rsidRPr="00BD340E">
        <w:rPr>
          <w:sz w:val="22"/>
          <w:szCs w:val="22"/>
        </w:rPr>
        <w:t>s</w:t>
      </w:r>
      <w:r w:rsidRPr="00BD340E">
        <w:rPr>
          <w:sz w:val="22"/>
          <w:szCs w:val="22"/>
        </w:rPr>
        <w:t xml:space="preserve"> in the</w:t>
      </w:r>
      <w:r w:rsidR="00BD13A9" w:rsidRPr="00BD340E">
        <w:rPr>
          <w:sz w:val="22"/>
          <w:szCs w:val="22"/>
        </w:rPr>
        <w:t xml:space="preserve"> </w:t>
      </w:r>
      <w:r w:rsidRPr="00BD340E">
        <w:rPr>
          <w:sz w:val="22"/>
          <w:szCs w:val="22"/>
        </w:rPr>
        <w:t>operation</w:t>
      </w:r>
      <w:r w:rsidR="00BD13A9" w:rsidRPr="00BD340E">
        <w:rPr>
          <w:sz w:val="22"/>
          <w:szCs w:val="22"/>
        </w:rPr>
        <w:t xml:space="preserve"> of products threaten consumer safety </w:t>
      </w:r>
      <w:r w:rsidRPr="00BD340E">
        <w:rPr>
          <w:sz w:val="22"/>
          <w:szCs w:val="22"/>
        </w:rPr>
        <w:t xml:space="preserve">(Gao et al., 2015; Hora, Bapuji, &amp; Roth 2011; Van </w:t>
      </w:r>
      <w:proofErr w:type="spellStart"/>
      <w:r w:rsidRPr="00BD340E">
        <w:rPr>
          <w:sz w:val="22"/>
          <w:szCs w:val="22"/>
        </w:rPr>
        <w:t>Heerde</w:t>
      </w:r>
      <w:proofErr w:type="spellEnd"/>
      <w:r w:rsidRPr="00BD340E">
        <w:rPr>
          <w:sz w:val="22"/>
          <w:szCs w:val="22"/>
        </w:rPr>
        <w:t xml:space="preserve">, Helsen, &amp; </w:t>
      </w:r>
      <w:proofErr w:type="spellStart"/>
      <w:r w:rsidRPr="00BD340E">
        <w:rPr>
          <w:sz w:val="22"/>
          <w:szCs w:val="22"/>
        </w:rPr>
        <w:t>Dekimpe</w:t>
      </w:r>
      <w:proofErr w:type="spellEnd"/>
      <w:r w:rsidRPr="00BD340E">
        <w:rPr>
          <w:sz w:val="22"/>
          <w:szCs w:val="22"/>
        </w:rPr>
        <w:t xml:space="preserve">, 2007). Consumers have an expectation of performance with each product they purchase, and when that product fails to perform as intended, the consumer can be put into harm’s way. For example, in 2014 General Motors vehicles with faulty ignition switches had to be recalled after they were linked to 124 deaths and numerous injuries (Burrows, 2018). Further compounding matters, products which are suspected to pose a potential harm to consumers are often not recalled immediately after a report of failure (Bae &amp; Benitez-Lopez, 2011). Firms must investigate the recall and determine if it is </w:t>
      </w:r>
      <w:r w:rsidR="00D04A87" w:rsidRPr="00BD340E">
        <w:rPr>
          <w:sz w:val="22"/>
          <w:szCs w:val="22"/>
        </w:rPr>
        <w:t xml:space="preserve">necessary </w:t>
      </w:r>
      <w:r w:rsidRPr="00BD340E">
        <w:rPr>
          <w:sz w:val="22"/>
          <w:szCs w:val="22"/>
        </w:rPr>
        <w:t xml:space="preserve">to issue a recall. In the case of the General Motors recall referred to earlier, the firm was aware of the issue with its ignition switch as early as seven years prior to issuing a full-scale recall (Basu, 2014). If the recall had been issued earlier, then a fix could have been applied and dozens of deaths could have been averted. The case of the General Motors recall highlights the importance of issuing prompt product recalls. </w:t>
      </w:r>
    </w:p>
    <w:p w14:paraId="57ABC55C" w14:textId="692191E1" w:rsidR="00977E2A" w:rsidRPr="00BD340E" w:rsidRDefault="00977E2A" w:rsidP="00BD340E">
      <w:pPr>
        <w:spacing w:line="480" w:lineRule="auto"/>
        <w:ind w:firstLine="720"/>
        <w:rPr>
          <w:sz w:val="22"/>
          <w:szCs w:val="22"/>
        </w:rPr>
      </w:pPr>
      <w:r w:rsidRPr="00BD340E">
        <w:rPr>
          <w:sz w:val="22"/>
          <w:szCs w:val="22"/>
        </w:rPr>
        <w:t xml:space="preserve">However, firms are often hesitant to issue a product recall out of fear that they be overreacting to a few isolated problems (Eilert et al. 2017). </w:t>
      </w:r>
      <w:r w:rsidR="00FB633F" w:rsidRPr="00BD340E">
        <w:rPr>
          <w:sz w:val="22"/>
          <w:szCs w:val="22"/>
        </w:rPr>
        <w:t xml:space="preserve">In fact, as revealed by Dennis Gioia based on his experience as a recall coordinator at Ford, automobile firms have </w:t>
      </w:r>
      <w:r w:rsidR="00E117BD" w:rsidRPr="00BD340E">
        <w:rPr>
          <w:sz w:val="22"/>
          <w:szCs w:val="22"/>
        </w:rPr>
        <w:t xml:space="preserve">a hundred active recall campaigns and many more being considered as potential candidates for recalls, besides even more issues on which reports of failures are being accumulated to examine whether they are potential candidates for a recall. Given this, </w:t>
      </w:r>
      <w:r w:rsidR="00D04A87" w:rsidRPr="00BD340E">
        <w:rPr>
          <w:sz w:val="22"/>
          <w:szCs w:val="22"/>
        </w:rPr>
        <w:t>firms make a cost-benefit analysis of a recall by comparing the cost of recalling all involved cars, in many cases millions of them, and fixing them with the costs of not recalling and fixing the problem. To estimate the costs of not fixing the problem, firms assign a dollar value for each injury, death, and loss of property from a fail</w:t>
      </w:r>
      <w:r w:rsidR="00FB633F" w:rsidRPr="00BD340E">
        <w:rPr>
          <w:sz w:val="22"/>
          <w:szCs w:val="22"/>
        </w:rPr>
        <w:t xml:space="preserve">ure (Gioia, 1992). </w:t>
      </w:r>
    </w:p>
    <w:p w14:paraId="33E91FD9" w14:textId="1BB66E73" w:rsidR="00977E2A" w:rsidRPr="00BD340E" w:rsidRDefault="00E117BD" w:rsidP="006324E2">
      <w:pPr>
        <w:spacing w:line="480" w:lineRule="auto"/>
        <w:ind w:firstLine="720"/>
        <w:rPr>
          <w:sz w:val="22"/>
          <w:szCs w:val="22"/>
        </w:rPr>
      </w:pPr>
      <w:r w:rsidRPr="00BD340E">
        <w:rPr>
          <w:sz w:val="22"/>
          <w:szCs w:val="22"/>
        </w:rPr>
        <w:lastRenderedPageBreak/>
        <w:t xml:space="preserve">Given the intricacies involved in recalls and their potential consequences for </w:t>
      </w:r>
      <w:r w:rsidR="00503608" w:rsidRPr="00BD340E">
        <w:rPr>
          <w:sz w:val="22"/>
          <w:szCs w:val="22"/>
        </w:rPr>
        <w:t>firms and consumers</w:t>
      </w:r>
      <w:r w:rsidRPr="00BD340E">
        <w:rPr>
          <w:sz w:val="22"/>
          <w:szCs w:val="22"/>
        </w:rPr>
        <w:t>, t</w:t>
      </w:r>
      <w:r w:rsidR="00977E2A" w:rsidRPr="00BD340E">
        <w:rPr>
          <w:sz w:val="22"/>
          <w:szCs w:val="22"/>
        </w:rPr>
        <w:t>he topic of product recalls has garnered a large amount of attention in the business literature (Li et al., 2022). It has been studied from the perspective of reducing the negative impact on the firm (Chen, Ganesan, &amp; Liu, 2009; Eilert et al., 2017; Rhee &amp; Haunschild, 2006) as well as how firms can organize to limit product recalls (Hora, Bapuji, and Roth 2011) and prevent future ones (</w:t>
      </w:r>
      <w:proofErr w:type="spellStart"/>
      <w:r w:rsidR="00977E2A" w:rsidRPr="00BD340E">
        <w:rPr>
          <w:sz w:val="22"/>
          <w:szCs w:val="22"/>
        </w:rPr>
        <w:t>Kalaignaman</w:t>
      </w:r>
      <w:proofErr w:type="spellEnd"/>
      <w:r w:rsidR="00977E2A" w:rsidRPr="00BD340E">
        <w:rPr>
          <w:sz w:val="22"/>
          <w:szCs w:val="22"/>
        </w:rPr>
        <w:t>, Kushwaha, &amp; Eilert, 2013). Th</w:t>
      </w:r>
      <w:r w:rsidR="00503608" w:rsidRPr="00BD340E">
        <w:rPr>
          <w:sz w:val="22"/>
          <w:szCs w:val="22"/>
        </w:rPr>
        <w:t xml:space="preserve">is body </w:t>
      </w:r>
      <w:r w:rsidR="00977E2A" w:rsidRPr="00BD340E">
        <w:rPr>
          <w:sz w:val="22"/>
          <w:szCs w:val="22"/>
        </w:rPr>
        <w:t xml:space="preserve">of work has </w:t>
      </w:r>
      <w:r w:rsidR="00503608" w:rsidRPr="00BD340E">
        <w:rPr>
          <w:sz w:val="22"/>
          <w:szCs w:val="22"/>
        </w:rPr>
        <w:t xml:space="preserve">predominantly </w:t>
      </w:r>
      <w:r w:rsidR="00977E2A" w:rsidRPr="00BD340E">
        <w:rPr>
          <w:sz w:val="22"/>
          <w:szCs w:val="22"/>
        </w:rPr>
        <w:t>examined the product recall</w:t>
      </w:r>
      <w:r w:rsidR="00503608" w:rsidRPr="00BD340E">
        <w:rPr>
          <w:sz w:val="22"/>
          <w:szCs w:val="22"/>
        </w:rPr>
        <w:t>s</w:t>
      </w:r>
      <w:r w:rsidR="00977E2A" w:rsidRPr="00BD340E">
        <w:rPr>
          <w:sz w:val="22"/>
          <w:szCs w:val="22"/>
        </w:rPr>
        <w:t xml:space="preserve"> from the perspective of the firm, specifically how </w:t>
      </w:r>
      <w:r w:rsidR="00503608" w:rsidRPr="00BD340E">
        <w:rPr>
          <w:sz w:val="22"/>
          <w:szCs w:val="22"/>
        </w:rPr>
        <w:t xml:space="preserve">they affect firms and how </w:t>
      </w:r>
      <w:r w:rsidR="00977E2A" w:rsidRPr="00BD340E">
        <w:rPr>
          <w:sz w:val="22"/>
          <w:szCs w:val="22"/>
        </w:rPr>
        <w:t>the firm can manage product recalls (</w:t>
      </w:r>
      <w:r w:rsidR="00503608" w:rsidRPr="00BD340E">
        <w:rPr>
          <w:sz w:val="22"/>
          <w:szCs w:val="22"/>
        </w:rPr>
        <w:t>Li et al., 2022</w:t>
      </w:r>
      <w:r w:rsidR="00977E2A" w:rsidRPr="00BD340E">
        <w:rPr>
          <w:sz w:val="22"/>
          <w:szCs w:val="22"/>
        </w:rPr>
        <w:t xml:space="preserve">). However, equally important in the management of the product recall is the role of policy makers and the regulatory environment (Jackson &amp; Morgan, 1988; </w:t>
      </w:r>
      <w:proofErr w:type="spellStart"/>
      <w:r w:rsidR="00977E2A" w:rsidRPr="00BD340E">
        <w:rPr>
          <w:sz w:val="22"/>
          <w:szCs w:val="22"/>
        </w:rPr>
        <w:t>Siomkos</w:t>
      </w:r>
      <w:proofErr w:type="spellEnd"/>
      <w:r w:rsidR="00977E2A" w:rsidRPr="00BD340E">
        <w:rPr>
          <w:sz w:val="22"/>
          <w:szCs w:val="22"/>
        </w:rPr>
        <w:t xml:space="preserve"> &amp; Kurzbard, 1994). Yet, prior research has not examined the role of stakeholders, such as consumers and policymakers in managing product recalls (Li et al., 2022). </w:t>
      </w:r>
    </w:p>
    <w:p w14:paraId="3296E831" w14:textId="2F7E063A" w:rsidR="00E979B1" w:rsidRPr="00BD340E" w:rsidRDefault="00977E2A" w:rsidP="006324E2">
      <w:pPr>
        <w:spacing w:line="480" w:lineRule="auto"/>
        <w:ind w:firstLine="720"/>
        <w:rPr>
          <w:sz w:val="22"/>
          <w:szCs w:val="22"/>
        </w:rPr>
      </w:pPr>
      <w:r w:rsidRPr="00BD340E">
        <w:rPr>
          <w:sz w:val="22"/>
          <w:szCs w:val="22"/>
        </w:rPr>
        <w:t>In the present study, we focus on the</w:t>
      </w:r>
      <w:r w:rsidR="007132B9">
        <w:rPr>
          <w:sz w:val="22"/>
          <w:szCs w:val="22"/>
        </w:rPr>
        <w:t xml:space="preserve"> product safety</w:t>
      </w:r>
      <w:r w:rsidRPr="00BD340E">
        <w:rPr>
          <w:sz w:val="22"/>
          <w:szCs w:val="22"/>
        </w:rPr>
        <w:t xml:space="preserve"> regulations governing product recalls, which influences when and how the firm must issue a product recall (Bae &amp; Benitez-Lopez, 2011). Specifically, we contrast the regulatory environments in four countries: the </w:t>
      </w:r>
      <w:r w:rsidR="000A1B0A" w:rsidRPr="00BD340E">
        <w:rPr>
          <w:sz w:val="22"/>
          <w:szCs w:val="22"/>
        </w:rPr>
        <w:t>U.S</w:t>
      </w:r>
      <w:r w:rsidRPr="00BD340E">
        <w:rPr>
          <w:sz w:val="22"/>
          <w:szCs w:val="22"/>
        </w:rPr>
        <w:t xml:space="preserve">, the </w:t>
      </w:r>
      <w:r w:rsidR="000A1B0A" w:rsidRPr="00BD340E">
        <w:rPr>
          <w:sz w:val="22"/>
          <w:szCs w:val="22"/>
        </w:rPr>
        <w:t>U.K</w:t>
      </w:r>
      <w:r w:rsidRPr="00BD340E">
        <w:rPr>
          <w:sz w:val="22"/>
          <w:szCs w:val="22"/>
        </w:rPr>
        <w:t xml:space="preserve">, Germany, and Australia. An outline of the recall process in the four markets is provided in Table 1. In all four markets, if manufacturers are found to have violated laws that govern product recalls, they can be penalized. But, </w:t>
      </w:r>
      <w:r w:rsidR="00BD13A9" w:rsidRPr="00BD340E">
        <w:rPr>
          <w:sz w:val="22"/>
          <w:szCs w:val="22"/>
        </w:rPr>
        <w:t>i</w:t>
      </w:r>
      <w:r w:rsidRPr="00BD340E">
        <w:rPr>
          <w:sz w:val="22"/>
          <w:szCs w:val="22"/>
        </w:rPr>
        <w:t>n the U.K and Germany, the penalties can extend to consumers who continue to use recalled automobiles</w:t>
      </w:r>
      <w:r w:rsidR="00BD13A9" w:rsidRPr="00BD340E">
        <w:rPr>
          <w:sz w:val="22"/>
          <w:szCs w:val="22"/>
        </w:rPr>
        <w:t xml:space="preserve"> whereas i</w:t>
      </w:r>
      <w:r w:rsidRPr="00BD340E">
        <w:rPr>
          <w:sz w:val="22"/>
          <w:szCs w:val="22"/>
        </w:rPr>
        <w:t>n the U.S and Australia</w:t>
      </w:r>
      <w:r w:rsidR="00BD13A9" w:rsidRPr="00BD340E">
        <w:rPr>
          <w:sz w:val="22"/>
          <w:szCs w:val="22"/>
        </w:rPr>
        <w:t xml:space="preserve">, </w:t>
      </w:r>
      <w:r w:rsidRPr="00BD340E">
        <w:rPr>
          <w:sz w:val="22"/>
          <w:szCs w:val="22"/>
        </w:rPr>
        <w:t>consumers are not compelled to stop driving recalled cars or have them fixed if they choose not to. In the U.K and Germany, the concern that a recalled automobile may harm others motivates</w:t>
      </w:r>
      <w:r w:rsidR="007132B9">
        <w:rPr>
          <w:sz w:val="22"/>
          <w:szCs w:val="22"/>
        </w:rPr>
        <w:t xml:space="preserve"> product safety</w:t>
      </w:r>
      <w:r w:rsidRPr="00BD340E">
        <w:rPr>
          <w:sz w:val="22"/>
          <w:szCs w:val="22"/>
        </w:rPr>
        <w:t xml:space="preserve"> regulations that impose a cost on consumers and compels them to have their automobiles fixed.</w:t>
      </w:r>
    </w:p>
    <w:p w14:paraId="62A53DBF" w14:textId="22C51213" w:rsidR="00BE3BC6" w:rsidRPr="00BD340E" w:rsidRDefault="00E979B1" w:rsidP="006324E2">
      <w:pPr>
        <w:jc w:val="center"/>
        <w:rPr>
          <w:sz w:val="22"/>
          <w:szCs w:val="22"/>
        </w:rPr>
      </w:pPr>
      <w:r w:rsidRPr="00BD340E">
        <w:rPr>
          <w:sz w:val="22"/>
          <w:szCs w:val="22"/>
        </w:rPr>
        <w:t>&lt;Please insert Table 1 about here&gt;</w:t>
      </w:r>
    </w:p>
    <w:p w14:paraId="0A5BF603" w14:textId="77777777" w:rsidR="00E979B1" w:rsidRPr="00BD340E" w:rsidRDefault="00E979B1" w:rsidP="00677BC7">
      <w:pPr>
        <w:spacing w:line="276" w:lineRule="auto"/>
        <w:rPr>
          <w:sz w:val="22"/>
          <w:szCs w:val="22"/>
        </w:rPr>
      </w:pPr>
    </w:p>
    <w:p w14:paraId="568EFE93" w14:textId="1F6B2427" w:rsidR="00E00A2C" w:rsidRPr="00677BC7" w:rsidRDefault="006324E2" w:rsidP="00677BC7">
      <w:pPr>
        <w:spacing w:line="480" w:lineRule="auto"/>
        <w:rPr>
          <w:b/>
          <w:sz w:val="28"/>
          <w:szCs w:val="28"/>
        </w:rPr>
      </w:pPr>
      <w:r w:rsidRPr="006324E2">
        <w:rPr>
          <w:b/>
          <w:sz w:val="22"/>
          <w:szCs w:val="22"/>
        </w:rPr>
        <w:t>Responsiveness to product-harm crises</w:t>
      </w:r>
    </w:p>
    <w:p w14:paraId="0193DE7E" w14:textId="48E6EAC7" w:rsidR="00CD3159" w:rsidRPr="00677BC7" w:rsidRDefault="004C0FFB" w:rsidP="008966B3">
      <w:pPr>
        <w:spacing w:line="480" w:lineRule="auto"/>
        <w:ind w:firstLine="720"/>
        <w:rPr>
          <w:sz w:val="22"/>
          <w:szCs w:val="22"/>
        </w:rPr>
      </w:pPr>
      <w:r w:rsidRPr="00677BC7">
        <w:rPr>
          <w:sz w:val="22"/>
          <w:szCs w:val="22"/>
          <w:lang w:val="en-CA"/>
        </w:rPr>
        <w:t>In cases of product-harm cris</w:t>
      </w:r>
      <w:r w:rsidR="00A9075A" w:rsidRPr="00677BC7">
        <w:rPr>
          <w:sz w:val="22"/>
          <w:szCs w:val="22"/>
          <w:lang w:val="en-CA"/>
        </w:rPr>
        <w:t>e</w:t>
      </w:r>
      <w:r w:rsidRPr="00677BC7">
        <w:rPr>
          <w:sz w:val="22"/>
          <w:szCs w:val="22"/>
          <w:lang w:val="en-CA"/>
        </w:rPr>
        <w:t>s</w:t>
      </w:r>
      <w:r w:rsidR="00CA1DCD" w:rsidRPr="00677BC7">
        <w:rPr>
          <w:sz w:val="22"/>
          <w:szCs w:val="22"/>
          <w:lang w:val="en-CA"/>
        </w:rPr>
        <w:t xml:space="preserve"> </w:t>
      </w:r>
      <w:r w:rsidR="00A9075A" w:rsidRPr="00677BC7">
        <w:rPr>
          <w:sz w:val="22"/>
          <w:szCs w:val="22"/>
          <w:lang w:val="en-CA"/>
        </w:rPr>
        <w:t xml:space="preserve">that </w:t>
      </w:r>
      <w:r w:rsidR="00CA1DCD" w:rsidRPr="00677BC7">
        <w:rPr>
          <w:sz w:val="22"/>
          <w:szCs w:val="22"/>
          <w:lang w:val="en-CA"/>
        </w:rPr>
        <w:t>involv</w:t>
      </w:r>
      <w:r w:rsidR="00A9075A" w:rsidRPr="00677BC7">
        <w:rPr>
          <w:sz w:val="22"/>
          <w:szCs w:val="22"/>
          <w:lang w:val="en-CA"/>
        </w:rPr>
        <w:t>e</w:t>
      </w:r>
      <w:r w:rsidR="00CA1DCD" w:rsidRPr="00677BC7">
        <w:rPr>
          <w:sz w:val="22"/>
          <w:szCs w:val="22"/>
          <w:lang w:val="en-CA"/>
        </w:rPr>
        <w:t xml:space="preserve"> </w:t>
      </w:r>
      <w:r w:rsidR="00EF47F0" w:rsidRPr="00677BC7">
        <w:rPr>
          <w:sz w:val="22"/>
          <w:szCs w:val="22"/>
          <w:lang w:val="en-CA"/>
        </w:rPr>
        <w:t xml:space="preserve">physical </w:t>
      </w:r>
      <w:r w:rsidR="00CA1DCD" w:rsidRPr="00677BC7">
        <w:rPr>
          <w:sz w:val="22"/>
          <w:szCs w:val="22"/>
          <w:lang w:val="en-CA"/>
        </w:rPr>
        <w:t>danger</w:t>
      </w:r>
      <w:r w:rsidR="00EF47F0" w:rsidRPr="00677BC7">
        <w:rPr>
          <w:sz w:val="22"/>
          <w:szCs w:val="22"/>
          <w:lang w:val="en-CA"/>
        </w:rPr>
        <w:t xml:space="preserve"> to users</w:t>
      </w:r>
      <w:r w:rsidR="00CA1DCD" w:rsidRPr="00677BC7">
        <w:rPr>
          <w:sz w:val="22"/>
          <w:szCs w:val="22"/>
          <w:lang w:val="en-CA"/>
        </w:rPr>
        <w:t xml:space="preserve">, </w:t>
      </w:r>
      <w:r w:rsidRPr="00677BC7">
        <w:rPr>
          <w:sz w:val="22"/>
          <w:szCs w:val="22"/>
          <w:lang w:val="en-CA"/>
        </w:rPr>
        <w:t xml:space="preserve">products are recalled </w:t>
      </w:r>
      <w:r w:rsidR="00CA1DCD" w:rsidRPr="00677BC7">
        <w:rPr>
          <w:sz w:val="22"/>
          <w:szCs w:val="22"/>
          <w:lang w:val="en-CA"/>
        </w:rPr>
        <w:t>to eliminate</w:t>
      </w:r>
      <w:r w:rsidR="00CD64FD" w:rsidRPr="00677BC7">
        <w:rPr>
          <w:sz w:val="22"/>
          <w:szCs w:val="22"/>
        </w:rPr>
        <w:t xml:space="preserve"> </w:t>
      </w:r>
      <w:r w:rsidR="00EF47F0" w:rsidRPr="00677BC7">
        <w:rPr>
          <w:sz w:val="22"/>
          <w:szCs w:val="22"/>
        </w:rPr>
        <w:t xml:space="preserve">the </w:t>
      </w:r>
      <w:r w:rsidR="00CD64FD" w:rsidRPr="00677BC7">
        <w:rPr>
          <w:sz w:val="22"/>
          <w:szCs w:val="22"/>
        </w:rPr>
        <w:t>viable threat of harm</w:t>
      </w:r>
      <w:r w:rsidR="00EF47F0" w:rsidRPr="00677BC7">
        <w:rPr>
          <w:sz w:val="22"/>
          <w:szCs w:val="22"/>
        </w:rPr>
        <w:t>.</w:t>
      </w:r>
      <w:r w:rsidR="00CD64FD" w:rsidRPr="00677BC7">
        <w:rPr>
          <w:sz w:val="22"/>
          <w:szCs w:val="22"/>
        </w:rPr>
        <w:t xml:space="preserve"> </w:t>
      </w:r>
      <w:r w:rsidR="00503608" w:rsidRPr="00677BC7">
        <w:rPr>
          <w:sz w:val="22"/>
          <w:szCs w:val="22"/>
        </w:rPr>
        <w:t xml:space="preserve">However, </w:t>
      </w:r>
      <w:r w:rsidR="00117954" w:rsidRPr="00677BC7">
        <w:rPr>
          <w:sz w:val="22"/>
          <w:szCs w:val="22"/>
        </w:rPr>
        <w:t xml:space="preserve">a </w:t>
      </w:r>
      <w:r w:rsidRPr="00677BC7">
        <w:rPr>
          <w:sz w:val="22"/>
          <w:szCs w:val="22"/>
        </w:rPr>
        <w:t xml:space="preserve">product-harm crisis or a </w:t>
      </w:r>
      <w:r w:rsidR="00117954" w:rsidRPr="00677BC7">
        <w:rPr>
          <w:sz w:val="22"/>
          <w:szCs w:val="22"/>
        </w:rPr>
        <w:t>recall does not necessarily indicate poor manufacturing or poor management practices on the part of the firm</w:t>
      </w:r>
      <w:r w:rsidR="00042A9F" w:rsidRPr="00677BC7">
        <w:rPr>
          <w:sz w:val="22"/>
          <w:szCs w:val="22"/>
        </w:rPr>
        <w:t>,</w:t>
      </w:r>
      <w:r w:rsidR="00117954" w:rsidRPr="00677BC7">
        <w:rPr>
          <w:sz w:val="22"/>
          <w:szCs w:val="22"/>
        </w:rPr>
        <w:t xml:space="preserve"> </w:t>
      </w:r>
      <w:r w:rsidR="002A382F" w:rsidRPr="00677BC7">
        <w:rPr>
          <w:sz w:val="22"/>
          <w:szCs w:val="22"/>
        </w:rPr>
        <w:t>but</w:t>
      </w:r>
      <w:r w:rsidR="00117954" w:rsidRPr="00677BC7">
        <w:rPr>
          <w:sz w:val="22"/>
          <w:szCs w:val="22"/>
        </w:rPr>
        <w:t xml:space="preserve"> may in fact be an </w:t>
      </w:r>
      <w:r w:rsidR="00117954" w:rsidRPr="00677BC7">
        <w:rPr>
          <w:sz w:val="22"/>
          <w:szCs w:val="22"/>
        </w:rPr>
        <w:lastRenderedPageBreak/>
        <w:t>unintended consequence of innovative design and manufacturing</w:t>
      </w:r>
      <w:r w:rsidR="002A382F" w:rsidRPr="00677BC7">
        <w:rPr>
          <w:sz w:val="22"/>
          <w:szCs w:val="22"/>
        </w:rPr>
        <w:t xml:space="preserve"> (Majid </w:t>
      </w:r>
      <w:r w:rsidR="00BE3BC6" w:rsidRPr="00677BC7">
        <w:rPr>
          <w:sz w:val="22"/>
          <w:szCs w:val="22"/>
        </w:rPr>
        <w:t>&amp;</w:t>
      </w:r>
      <w:r w:rsidR="002A382F" w:rsidRPr="00677BC7">
        <w:rPr>
          <w:sz w:val="22"/>
          <w:szCs w:val="22"/>
        </w:rPr>
        <w:t xml:space="preserve"> Rhee</w:t>
      </w:r>
      <w:r w:rsidR="00BE3BC6" w:rsidRPr="00677BC7">
        <w:rPr>
          <w:sz w:val="22"/>
          <w:szCs w:val="22"/>
        </w:rPr>
        <w:t>,</w:t>
      </w:r>
      <w:r w:rsidR="002A382F" w:rsidRPr="00677BC7">
        <w:rPr>
          <w:sz w:val="22"/>
          <w:szCs w:val="22"/>
        </w:rPr>
        <w:t xml:space="preserve"> 201</w:t>
      </w:r>
      <w:r w:rsidR="00686002" w:rsidRPr="00677BC7">
        <w:rPr>
          <w:sz w:val="22"/>
          <w:szCs w:val="22"/>
        </w:rPr>
        <w:t>8</w:t>
      </w:r>
      <w:r w:rsidR="002A382F" w:rsidRPr="00677BC7">
        <w:rPr>
          <w:sz w:val="22"/>
          <w:szCs w:val="22"/>
        </w:rPr>
        <w:t>)</w:t>
      </w:r>
      <w:r w:rsidR="00117954" w:rsidRPr="00677BC7">
        <w:rPr>
          <w:sz w:val="22"/>
          <w:szCs w:val="22"/>
        </w:rPr>
        <w:t>. Despite advances in product design and testing, real-life conditions of usage can rarely be replicated</w:t>
      </w:r>
      <w:r w:rsidR="00850116" w:rsidRPr="00677BC7">
        <w:rPr>
          <w:sz w:val="22"/>
          <w:szCs w:val="22"/>
        </w:rPr>
        <w:t xml:space="preserve"> during the product-testing phase</w:t>
      </w:r>
      <w:r w:rsidR="00117954" w:rsidRPr="00677BC7">
        <w:rPr>
          <w:sz w:val="22"/>
          <w:szCs w:val="22"/>
        </w:rPr>
        <w:t xml:space="preserve">. Therefore, some flaws are revealed only after the </w:t>
      </w:r>
      <w:r w:rsidR="00850116" w:rsidRPr="00677BC7">
        <w:rPr>
          <w:sz w:val="22"/>
          <w:szCs w:val="22"/>
        </w:rPr>
        <w:t>item</w:t>
      </w:r>
      <w:r w:rsidR="00117954" w:rsidRPr="00677BC7">
        <w:rPr>
          <w:sz w:val="22"/>
          <w:szCs w:val="22"/>
        </w:rPr>
        <w:t xml:space="preserve"> has been released into the marketplace</w:t>
      </w:r>
      <w:r w:rsidR="00042A9F" w:rsidRPr="00677BC7">
        <w:rPr>
          <w:sz w:val="22"/>
          <w:szCs w:val="22"/>
        </w:rPr>
        <w:t xml:space="preserve">, </w:t>
      </w:r>
      <w:r w:rsidR="00854134" w:rsidRPr="00677BC7">
        <w:rPr>
          <w:sz w:val="22"/>
          <w:szCs w:val="22"/>
        </w:rPr>
        <w:t>necessitat</w:t>
      </w:r>
      <w:r w:rsidR="00EF47F0" w:rsidRPr="00677BC7">
        <w:rPr>
          <w:sz w:val="22"/>
          <w:szCs w:val="22"/>
        </w:rPr>
        <w:t>ing</w:t>
      </w:r>
      <w:r w:rsidR="00042A9F" w:rsidRPr="00677BC7">
        <w:rPr>
          <w:sz w:val="22"/>
          <w:szCs w:val="22"/>
        </w:rPr>
        <w:t xml:space="preserve"> </w:t>
      </w:r>
      <w:r w:rsidR="00854134" w:rsidRPr="00677BC7">
        <w:rPr>
          <w:sz w:val="22"/>
          <w:szCs w:val="22"/>
        </w:rPr>
        <w:t>a recall</w:t>
      </w:r>
      <w:r w:rsidR="00B97801" w:rsidRPr="00677BC7">
        <w:rPr>
          <w:sz w:val="22"/>
          <w:szCs w:val="22"/>
        </w:rPr>
        <w:t xml:space="preserve"> </w:t>
      </w:r>
      <w:r w:rsidR="00334E91" w:rsidRPr="00677BC7">
        <w:rPr>
          <w:sz w:val="22"/>
          <w:szCs w:val="22"/>
        </w:rPr>
        <w:t>at that stage in the product</w:t>
      </w:r>
      <w:r w:rsidR="006770CF" w:rsidRPr="00677BC7">
        <w:rPr>
          <w:sz w:val="22"/>
          <w:szCs w:val="22"/>
        </w:rPr>
        <w:t>’s life cycle</w:t>
      </w:r>
      <w:r w:rsidR="00334E91" w:rsidRPr="00677BC7">
        <w:rPr>
          <w:sz w:val="22"/>
          <w:szCs w:val="22"/>
        </w:rPr>
        <w:t xml:space="preserve"> </w:t>
      </w:r>
      <w:r w:rsidR="00B97801" w:rsidRPr="00677BC7">
        <w:rPr>
          <w:sz w:val="22"/>
          <w:szCs w:val="22"/>
        </w:rPr>
        <w:t>(Bapuji</w:t>
      </w:r>
      <w:r w:rsidR="00BE3A97" w:rsidRPr="00677BC7">
        <w:rPr>
          <w:sz w:val="22"/>
          <w:szCs w:val="22"/>
        </w:rPr>
        <w:t>,</w:t>
      </w:r>
      <w:r w:rsidR="00B97801" w:rsidRPr="00677BC7">
        <w:rPr>
          <w:sz w:val="22"/>
          <w:szCs w:val="22"/>
        </w:rPr>
        <w:t xml:space="preserve"> 2011)</w:t>
      </w:r>
      <w:r w:rsidR="00E83292" w:rsidRPr="00677BC7">
        <w:rPr>
          <w:sz w:val="22"/>
          <w:szCs w:val="22"/>
        </w:rPr>
        <w:t xml:space="preserve">. </w:t>
      </w:r>
    </w:p>
    <w:p w14:paraId="79794BEC" w14:textId="40135959" w:rsidR="00A85029" w:rsidRPr="008966B3" w:rsidRDefault="00042A9F" w:rsidP="006324E2">
      <w:pPr>
        <w:spacing w:line="480" w:lineRule="auto"/>
        <w:ind w:firstLine="720"/>
        <w:rPr>
          <w:sz w:val="22"/>
          <w:szCs w:val="22"/>
        </w:rPr>
      </w:pPr>
      <w:r w:rsidRPr="008966B3">
        <w:rPr>
          <w:sz w:val="22"/>
          <w:szCs w:val="22"/>
        </w:rPr>
        <w:t xml:space="preserve">A product recall represents a crisis for the firm </w:t>
      </w:r>
      <w:r w:rsidR="00E64C32" w:rsidRPr="008966B3">
        <w:rPr>
          <w:sz w:val="22"/>
          <w:szCs w:val="22"/>
        </w:rPr>
        <w:t>since</w:t>
      </w:r>
      <w:r w:rsidRPr="008966B3">
        <w:rPr>
          <w:sz w:val="22"/>
          <w:szCs w:val="22"/>
        </w:rPr>
        <w:t xml:space="preserve"> the financial and reputational consequences of </w:t>
      </w:r>
      <w:r w:rsidR="00A9075A" w:rsidRPr="008966B3">
        <w:rPr>
          <w:sz w:val="22"/>
          <w:szCs w:val="22"/>
        </w:rPr>
        <w:t>such events</w:t>
      </w:r>
      <w:r w:rsidRPr="008966B3">
        <w:rPr>
          <w:sz w:val="22"/>
          <w:szCs w:val="22"/>
        </w:rPr>
        <w:t xml:space="preserve"> can be very high. </w:t>
      </w:r>
      <w:r w:rsidR="00CD64FD" w:rsidRPr="008966B3">
        <w:rPr>
          <w:sz w:val="22"/>
          <w:szCs w:val="22"/>
        </w:rPr>
        <w:t xml:space="preserve">Product recalls can cost a firm millions of dollars in expenses (Jarrell </w:t>
      </w:r>
      <w:r w:rsidR="00BE3A97" w:rsidRPr="008966B3">
        <w:rPr>
          <w:sz w:val="22"/>
          <w:szCs w:val="22"/>
        </w:rPr>
        <w:t xml:space="preserve">&amp; </w:t>
      </w:r>
      <w:r w:rsidR="00CD64FD" w:rsidRPr="008966B3">
        <w:rPr>
          <w:sz w:val="22"/>
          <w:szCs w:val="22"/>
        </w:rPr>
        <w:t>Peltzman</w:t>
      </w:r>
      <w:r w:rsidR="00BE3A97" w:rsidRPr="008966B3">
        <w:rPr>
          <w:sz w:val="22"/>
          <w:szCs w:val="22"/>
        </w:rPr>
        <w:t>,</w:t>
      </w:r>
      <w:r w:rsidR="00CD64FD" w:rsidRPr="008966B3">
        <w:rPr>
          <w:sz w:val="22"/>
          <w:szCs w:val="22"/>
        </w:rPr>
        <w:t xml:space="preserve"> 1985)</w:t>
      </w:r>
      <w:r w:rsidR="009873A4" w:rsidRPr="008966B3">
        <w:rPr>
          <w:sz w:val="22"/>
          <w:szCs w:val="22"/>
        </w:rPr>
        <w:t xml:space="preserve"> in addition to resulting in </w:t>
      </w:r>
      <w:r w:rsidR="00E83292" w:rsidRPr="008966B3">
        <w:rPr>
          <w:sz w:val="22"/>
          <w:szCs w:val="22"/>
        </w:rPr>
        <w:t xml:space="preserve">decreased market share (Rhee </w:t>
      </w:r>
      <w:r w:rsidR="00BE3A97" w:rsidRPr="008966B3">
        <w:rPr>
          <w:sz w:val="22"/>
          <w:szCs w:val="22"/>
        </w:rPr>
        <w:t>&amp;</w:t>
      </w:r>
      <w:r w:rsidR="00E83292" w:rsidRPr="008966B3">
        <w:rPr>
          <w:sz w:val="22"/>
          <w:szCs w:val="22"/>
        </w:rPr>
        <w:t xml:space="preserve"> Haunschild</w:t>
      </w:r>
      <w:r w:rsidR="00BE3A97" w:rsidRPr="008966B3">
        <w:rPr>
          <w:sz w:val="22"/>
          <w:szCs w:val="22"/>
        </w:rPr>
        <w:t>,</w:t>
      </w:r>
      <w:r w:rsidR="00E83292" w:rsidRPr="008966B3">
        <w:rPr>
          <w:sz w:val="22"/>
          <w:szCs w:val="22"/>
        </w:rPr>
        <w:t xml:space="preserve"> 2006), lost market capitalization (Chen</w:t>
      </w:r>
      <w:r w:rsidR="00C12624" w:rsidRPr="008966B3">
        <w:rPr>
          <w:sz w:val="22"/>
          <w:szCs w:val="22"/>
        </w:rPr>
        <w:t xml:space="preserve">, Ganesan, </w:t>
      </w:r>
      <w:r w:rsidR="00BE3A97" w:rsidRPr="008966B3">
        <w:rPr>
          <w:sz w:val="22"/>
          <w:szCs w:val="22"/>
        </w:rPr>
        <w:t>&amp;</w:t>
      </w:r>
      <w:r w:rsidR="00C12624" w:rsidRPr="008966B3">
        <w:rPr>
          <w:sz w:val="22"/>
          <w:szCs w:val="22"/>
        </w:rPr>
        <w:t xml:space="preserve"> Liu</w:t>
      </w:r>
      <w:r w:rsidR="00BE3A97" w:rsidRPr="008966B3">
        <w:rPr>
          <w:sz w:val="22"/>
          <w:szCs w:val="22"/>
        </w:rPr>
        <w:t>,</w:t>
      </w:r>
      <w:r w:rsidR="00E83292" w:rsidRPr="008966B3">
        <w:rPr>
          <w:sz w:val="22"/>
          <w:szCs w:val="22"/>
        </w:rPr>
        <w:t xml:space="preserve"> 2009), and negative consumer perceptions towards the firm (Dawar </w:t>
      </w:r>
      <w:r w:rsidR="00BE3A97" w:rsidRPr="008966B3">
        <w:rPr>
          <w:sz w:val="22"/>
          <w:szCs w:val="22"/>
        </w:rPr>
        <w:t>&amp;</w:t>
      </w:r>
      <w:r w:rsidR="00E83292" w:rsidRPr="008966B3">
        <w:rPr>
          <w:sz w:val="22"/>
          <w:szCs w:val="22"/>
        </w:rPr>
        <w:t xml:space="preserve"> </w:t>
      </w:r>
      <w:proofErr w:type="spellStart"/>
      <w:r w:rsidR="00E83292" w:rsidRPr="008966B3">
        <w:rPr>
          <w:sz w:val="22"/>
          <w:szCs w:val="22"/>
        </w:rPr>
        <w:t>Pillutla</w:t>
      </w:r>
      <w:proofErr w:type="spellEnd"/>
      <w:r w:rsidR="00BE3A97" w:rsidRPr="008966B3">
        <w:rPr>
          <w:sz w:val="22"/>
          <w:szCs w:val="22"/>
        </w:rPr>
        <w:t>,</w:t>
      </w:r>
      <w:r w:rsidR="00E83292" w:rsidRPr="008966B3">
        <w:rPr>
          <w:sz w:val="22"/>
          <w:szCs w:val="22"/>
        </w:rPr>
        <w:t xml:space="preserve"> 2000). </w:t>
      </w:r>
      <w:r w:rsidR="00E64C32" w:rsidRPr="008966B3">
        <w:rPr>
          <w:sz w:val="22"/>
          <w:szCs w:val="22"/>
        </w:rPr>
        <w:t>For these reasons</w:t>
      </w:r>
      <w:r w:rsidR="00CD64FD" w:rsidRPr="008966B3">
        <w:rPr>
          <w:sz w:val="22"/>
          <w:szCs w:val="22"/>
        </w:rPr>
        <w:t xml:space="preserve">, a firm is unlikely to recall a product unless it can determine </w:t>
      </w:r>
      <w:r w:rsidR="00CD64FD" w:rsidRPr="00677BC7">
        <w:rPr>
          <w:sz w:val="22"/>
          <w:szCs w:val="22"/>
        </w:rPr>
        <w:t>t</w:t>
      </w:r>
      <w:r w:rsidR="00B97801" w:rsidRPr="00677BC7">
        <w:rPr>
          <w:sz w:val="22"/>
          <w:szCs w:val="22"/>
        </w:rPr>
        <w:t xml:space="preserve">hat the product flaw poses serious danger to consumers and </w:t>
      </w:r>
      <w:r w:rsidR="00B631C3" w:rsidRPr="00677BC7">
        <w:rPr>
          <w:sz w:val="22"/>
          <w:szCs w:val="22"/>
        </w:rPr>
        <w:t xml:space="preserve">that reports of </w:t>
      </w:r>
      <w:r w:rsidR="00E64C32" w:rsidRPr="00677BC7">
        <w:rPr>
          <w:sz w:val="22"/>
          <w:szCs w:val="22"/>
        </w:rPr>
        <w:t xml:space="preserve">the </w:t>
      </w:r>
      <w:r w:rsidR="00B631C3" w:rsidRPr="00677BC7">
        <w:rPr>
          <w:sz w:val="22"/>
          <w:szCs w:val="22"/>
        </w:rPr>
        <w:t>flaw are not merely</w:t>
      </w:r>
      <w:r w:rsidR="00CD64FD" w:rsidRPr="00677BC7">
        <w:rPr>
          <w:sz w:val="22"/>
          <w:szCs w:val="22"/>
        </w:rPr>
        <w:t xml:space="preserve"> isolated cases</w:t>
      </w:r>
      <w:r w:rsidR="00B97801" w:rsidRPr="00677BC7">
        <w:rPr>
          <w:sz w:val="22"/>
          <w:szCs w:val="22"/>
        </w:rPr>
        <w:t xml:space="preserve"> of product failure due to consumer misuse</w:t>
      </w:r>
      <w:r w:rsidR="00CD64FD" w:rsidRPr="00677BC7">
        <w:rPr>
          <w:sz w:val="22"/>
          <w:szCs w:val="22"/>
        </w:rPr>
        <w:t xml:space="preserve">. </w:t>
      </w:r>
      <w:r w:rsidR="00A9075A" w:rsidRPr="00677BC7">
        <w:rPr>
          <w:sz w:val="22"/>
          <w:szCs w:val="22"/>
        </w:rPr>
        <w:t xml:space="preserve">The recall decision-making process is further complicated by the fact that </w:t>
      </w:r>
      <w:r w:rsidR="00CD64FD" w:rsidRPr="00677BC7">
        <w:rPr>
          <w:sz w:val="22"/>
          <w:szCs w:val="22"/>
        </w:rPr>
        <w:t xml:space="preserve">a delay in recalling a product will increase the potential for harm because it not only </w:t>
      </w:r>
      <w:r w:rsidR="00227DFB" w:rsidRPr="00677BC7">
        <w:rPr>
          <w:sz w:val="22"/>
          <w:szCs w:val="22"/>
        </w:rPr>
        <w:t xml:space="preserve">raises </w:t>
      </w:r>
      <w:r w:rsidR="00CD64FD" w:rsidRPr="00677BC7">
        <w:rPr>
          <w:sz w:val="22"/>
          <w:szCs w:val="22"/>
        </w:rPr>
        <w:t>the potential for product fail</w:t>
      </w:r>
      <w:r w:rsidR="00E64C32" w:rsidRPr="00677BC7">
        <w:rPr>
          <w:sz w:val="22"/>
          <w:szCs w:val="22"/>
        </w:rPr>
        <w:t>ure</w:t>
      </w:r>
      <w:r w:rsidR="004C0FFB" w:rsidRPr="00677BC7">
        <w:rPr>
          <w:sz w:val="22"/>
          <w:szCs w:val="22"/>
        </w:rPr>
        <w:t xml:space="preserve"> due to wear and tear</w:t>
      </w:r>
      <w:r w:rsidR="00854134" w:rsidRPr="00677BC7">
        <w:rPr>
          <w:sz w:val="22"/>
          <w:szCs w:val="22"/>
        </w:rPr>
        <w:t>,</w:t>
      </w:r>
      <w:r w:rsidR="00CD64FD" w:rsidRPr="00677BC7">
        <w:rPr>
          <w:sz w:val="22"/>
          <w:szCs w:val="22"/>
        </w:rPr>
        <w:t xml:space="preserve"> but also </w:t>
      </w:r>
      <w:r w:rsidR="00227DFB" w:rsidRPr="00677BC7">
        <w:rPr>
          <w:sz w:val="22"/>
          <w:szCs w:val="22"/>
        </w:rPr>
        <w:t xml:space="preserve">increases </w:t>
      </w:r>
      <w:r w:rsidR="00CD64FD" w:rsidRPr="00677BC7">
        <w:rPr>
          <w:sz w:val="22"/>
          <w:szCs w:val="22"/>
        </w:rPr>
        <w:t xml:space="preserve">the </w:t>
      </w:r>
      <w:r w:rsidR="00E64C32" w:rsidRPr="00677BC7">
        <w:rPr>
          <w:sz w:val="22"/>
          <w:szCs w:val="22"/>
        </w:rPr>
        <w:t xml:space="preserve">length of time the product </w:t>
      </w:r>
      <w:r w:rsidR="00227DFB" w:rsidRPr="00677BC7">
        <w:rPr>
          <w:sz w:val="22"/>
          <w:szCs w:val="22"/>
        </w:rPr>
        <w:t>is sold</w:t>
      </w:r>
      <w:r w:rsidR="00E64C32" w:rsidRPr="00677BC7">
        <w:rPr>
          <w:sz w:val="22"/>
          <w:szCs w:val="22"/>
        </w:rPr>
        <w:t xml:space="preserve"> on the market</w:t>
      </w:r>
      <w:r w:rsidR="00227DFB" w:rsidRPr="00677BC7">
        <w:rPr>
          <w:sz w:val="22"/>
          <w:szCs w:val="22"/>
        </w:rPr>
        <w:t>,</w:t>
      </w:r>
      <w:r w:rsidR="00E64C32" w:rsidRPr="00677BC7">
        <w:rPr>
          <w:sz w:val="22"/>
          <w:szCs w:val="22"/>
        </w:rPr>
        <w:t xml:space="preserve"> and thus the </w:t>
      </w:r>
      <w:r w:rsidR="00CD64FD" w:rsidRPr="00677BC7">
        <w:rPr>
          <w:sz w:val="22"/>
          <w:szCs w:val="22"/>
        </w:rPr>
        <w:t xml:space="preserve">number of products that must </w:t>
      </w:r>
      <w:r w:rsidR="00227DFB" w:rsidRPr="00677BC7">
        <w:rPr>
          <w:sz w:val="22"/>
          <w:szCs w:val="22"/>
        </w:rPr>
        <w:t xml:space="preserve">eventually </w:t>
      </w:r>
      <w:r w:rsidR="00CD64FD" w:rsidRPr="00677BC7">
        <w:rPr>
          <w:sz w:val="22"/>
          <w:szCs w:val="22"/>
        </w:rPr>
        <w:t>be recalled (</w:t>
      </w:r>
      <w:r w:rsidR="00C12624" w:rsidRPr="00677BC7">
        <w:rPr>
          <w:sz w:val="22"/>
          <w:szCs w:val="22"/>
        </w:rPr>
        <w:t>Hora</w:t>
      </w:r>
      <w:r w:rsidR="00503608" w:rsidRPr="00677BC7">
        <w:rPr>
          <w:sz w:val="22"/>
          <w:szCs w:val="22"/>
        </w:rPr>
        <w:t xml:space="preserve"> et al.</w:t>
      </w:r>
      <w:r w:rsidR="00C12624" w:rsidRPr="00677BC7">
        <w:rPr>
          <w:sz w:val="22"/>
          <w:szCs w:val="22"/>
        </w:rPr>
        <w:t xml:space="preserve">, </w:t>
      </w:r>
      <w:r w:rsidR="00B631C3" w:rsidRPr="00677BC7">
        <w:rPr>
          <w:sz w:val="22"/>
          <w:szCs w:val="22"/>
        </w:rPr>
        <w:t>2011</w:t>
      </w:r>
      <w:r w:rsidR="00CD64FD" w:rsidRPr="00677BC7">
        <w:rPr>
          <w:sz w:val="22"/>
          <w:szCs w:val="22"/>
        </w:rPr>
        <w:t>).</w:t>
      </w:r>
      <w:r w:rsidR="001205BD" w:rsidRPr="00677BC7">
        <w:rPr>
          <w:sz w:val="22"/>
          <w:szCs w:val="22"/>
        </w:rPr>
        <w:t xml:space="preserve"> </w:t>
      </w:r>
      <w:r w:rsidR="00A9075A" w:rsidRPr="00677BC7">
        <w:rPr>
          <w:sz w:val="22"/>
          <w:szCs w:val="22"/>
        </w:rPr>
        <w:t>D</w:t>
      </w:r>
      <w:r w:rsidR="00E83292" w:rsidRPr="00677BC7">
        <w:rPr>
          <w:sz w:val="22"/>
          <w:szCs w:val="22"/>
        </w:rPr>
        <w:t>elays in recalling a product can reflect negatively on the firm</w:t>
      </w:r>
      <w:r w:rsidR="00E64C32" w:rsidRPr="00677BC7">
        <w:rPr>
          <w:sz w:val="22"/>
          <w:szCs w:val="22"/>
        </w:rPr>
        <w:t>’s reputation</w:t>
      </w:r>
      <w:r w:rsidR="00E83292" w:rsidRPr="00677BC7">
        <w:rPr>
          <w:sz w:val="22"/>
          <w:szCs w:val="22"/>
        </w:rPr>
        <w:t xml:space="preserve">, since firms can be viewed as unresponsive and/or untrustworthy if they do not respond to consumer-safety issues in an appropriate </w:t>
      </w:r>
      <w:r w:rsidR="00E64C32" w:rsidRPr="00677BC7">
        <w:rPr>
          <w:sz w:val="22"/>
          <w:szCs w:val="22"/>
        </w:rPr>
        <w:t xml:space="preserve">– </w:t>
      </w:r>
      <w:r w:rsidR="00E64C32" w:rsidRPr="00677BC7">
        <w:rPr>
          <w:i/>
          <w:sz w:val="22"/>
          <w:szCs w:val="22"/>
        </w:rPr>
        <w:t xml:space="preserve">and </w:t>
      </w:r>
      <w:r w:rsidR="00E83292" w:rsidRPr="00677BC7">
        <w:rPr>
          <w:sz w:val="22"/>
          <w:szCs w:val="22"/>
        </w:rPr>
        <w:t xml:space="preserve">swift </w:t>
      </w:r>
      <w:r w:rsidR="00E64C32" w:rsidRPr="00677BC7">
        <w:rPr>
          <w:sz w:val="22"/>
          <w:szCs w:val="22"/>
        </w:rPr>
        <w:t xml:space="preserve">– </w:t>
      </w:r>
      <w:r w:rsidR="00E83292" w:rsidRPr="00677BC7">
        <w:rPr>
          <w:sz w:val="22"/>
          <w:szCs w:val="22"/>
        </w:rPr>
        <w:t xml:space="preserve">manner (Dawar </w:t>
      </w:r>
      <w:r w:rsidR="001205BD" w:rsidRPr="00677BC7">
        <w:rPr>
          <w:sz w:val="22"/>
          <w:szCs w:val="22"/>
        </w:rPr>
        <w:t>&amp;</w:t>
      </w:r>
      <w:r w:rsidR="00E83292" w:rsidRPr="00677BC7">
        <w:rPr>
          <w:sz w:val="22"/>
          <w:szCs w:val="22"/>
        </w:rPr>
        <w:t xml:space="preserve"> </w:t>
      </w:r>
      <w:proofErr w:type="spellStart"/>
      <w:r w:rsidR="00E83292" w:rsidRPr="00677BC7">
        <w:rPr>
          <w:sz w:val="22"/>
          <w:szCs w:val="22"/>
        </w:rPr>
        <w:t>Pillutla</w:t>
      </w:r>
      <w:proofErr w:type="spellEnd"/>
      <w:r w:rsidR="00E83292" w:rsidRPr="00677BC7">
        <w:rPr>
          <w:sz w:val="22"/>
          <w:szCs w:val="22"/>
        </w:rPr>
        <w:t xml:space="preserve"> 2000; Mowen, Jolly, </w:t>
      </w:r>
      <w:r w:rsidR="001205BD" w:rsidRPr="00677BC7">
        <w:rPr>
          <w:sz w:val="22"/>
          <w:szCs w:val="22"/>
        </w:rPr>
        <w:t>&amp;</w:t>
      </w:r>
      <w:r w:rsidR="00E83292" w:rsidRPr="00677BC7">
        <w:rPr>
          <w:sz w:val="22"/>
          <w:szCs w:val="22"/>
        </w:rPr>
        <w:t xml:space="preserve"> Nickell</w:t>
      </w:r>
      <w:r w:rsidR="001205BD" w:rsidRPr="00677BC7">
        <w:rPr>
          <w:sz w:val="22"/>
          <w:szCs w:val="22"/>
        </w:rPr>
        <w:t>,</w:t>
      </w:r>
      <w:r w:rsidR="00E83292" w:rsidRPr="00677BC7">
        <w:rPr>
          <w:sz w:val="22"/>
          <w:szCs w:val="22"/>
        </w:rPr>
        <w:t xml:space="preserve"> 1981).</w:t>
      </w:r>
      <w:r w:rsidR="001205BD" w:rsidRPr="00677BC7">
        <w:rPr>
          <w:sz w:val="22"/>
          <w:szCs w:val="22"/>
        </w:rPr>
        <w:t xml:space="preserve"> </w:t>
      </w:r>
      <w:r w:rsidR="00E83292" w:rsidRPr="00677BC7">
        <w:rPr>
          <w:sz w:val="22"/>
          <w:szCs w:val="22"/>
        </w:rPr>
        <w:t xml:space="preserve">Product recalls, particularly those in which a firm </w:t>
      </w:r>
      <w:r w:rsidR="004F7A80" w:rsidRPr="00677BC7">
        <w:rPr>
          <w:sz w:val="22"/>
          <w:szCs w:val="22"/>
        </w:rPr>
        <w:t>fails to</w:t>
      </w:r>
      <w:r w:rsidR="00E83292" w:rsidRPr="00677BC7">
        <w:rPr>
          <w:sz w:val="22"/>
          <w:szCs w:val="22"/>
        </w:rPr>
        <w:t xml:space="preserve"> </w:t>
      </w:r>
      <w:r w:rsidR="004C0FFB" w:rsidRPr="00677BC7">
        <w:rPr>
          <w:sz w:val="22"/>
          <w:szCs w:val="22"/>
        </w:rPr>
        <w:t>respond</w:t>
      </w:r>
      <w:r w:rsidR="00E83292" w:rsidRPr="00677BC7">
        <w:rPr>
          <w:sz w:val="22"/>
          <w:szCs w:val="22"/>
        </w:rPr>
        <w:t xml:space="preserve"> quickly</w:t>
      </w:r>
      <w:r w:rsidR="004F7A80" w:rsidRPr="00677BC7">
        <w:rPr>
          <w:sz w:val="22"/>
          <w:szCs w:val="22"/>
        </w:rPr>
        <w:t>,</w:t>
      </w:r>
      <w:r w:rsidR="00E83292" w:rsidRPr="00677BC7">
        <w:rPr>
          <w:sz w:val="22"/>
          <w:szCs w:val="22"/>
        </w:rPr>
        <w:t xml:space="preserve"> can prove damaging to firms. </w:t>
      </w:r>
    </w:p>
    <w:p w14:paraId="14E06830" w14:textId="6D8A9195" w:rsidR="00DC51DE" w:rsidRPr="00677BC7" w:rsidRDefault="004373F8" w:rsidP="006324E2">
      <w:pPr>
        <w:spacing w:line="480" w:lineRule="auto"/>
        <w:ind w:firstLine="720"/>
        <w:rPr>
          <w:sz w:val="22"/>
          <w:szCs w:val="22"/>
        </w:rPr>
      </w:pPr>
      <w:r w:rsidRPr="00677BC7">
        <w:rPr>
          <w:sz w:val="22"/>
          <w:szCs w:val="22"/>
        </w:rPr>
        <w:t>Our focus is on the responsiveness of firms, also referred to as speed to recall and time to recall (</w:t>
      </w:r>
      <w:r w:rsidR="00C6440B" w:rsidRPr="00677BC7">
        <w:rPr>
          <w:sz w:val="22"/>
          <w:szCs w:val="22"/>
        </w:rPr>
        <w:t xml:space="preserve">Li et al., 2022). </w:t>
      </w:r>
      <w:r w:rsidR="00503608" w:rsidRPr="00677BC7">
        <w:rPr>
          <w:sz w:val="22"/>
          <w:szCs w:val="22"/>
        </w:rPr>
        <w:t>R</w:t>
      </w:r>
      <w:r w:rsidR="00C6440B" w:rsidRPr="00677BC7">
        <w:rPr>
          <w:sz w:val="22"/>
          <w:szCs w:val="22"/>
        </w:rPr>
        <w:t xml:space="preserve">esponsiveness </w:t>
      </w:r>
      <w:r w:rsidR="00503608" w:rsidRPr="00677BC7">
        <w:rPr>
          <w:sz w:val="22"/>
          <w:szCs w:val="22"/>
        </w:rPr>
        <w:t xml:space="preserve">of firm in a recall </w:t>
      </w:r>
      <w:r w:rsidR="00C6440B" w:rsidRPr="00677BC7">
        <w:rPr>
          <w:sz w:val="22"/>
          <w:szCs w:val="22"/>
        </w:rPr>
        <w:t>can benefit both the competitive</w:t>
      </w:r>
      <w:r w:rsidR="00A669D9" w:rsidRPr="00677BC7">
        <w:rPr>
          <w:sz w:val="22"/>
          <w:szCs w:val="22"/>
        </w:rPr>
        <w:t>ness</w:t>
      </w:r>
      <w:r w:rsidR="00C6440B" w:rsidRPr="00677BC7">
        <w:rPr>
          <w:sz w:val="22"/>
          <w:szCs w:val="22"/>
        </w:rPr>
        <w:t xml:space="preserve"> of the firm in a foreign market (</w:t>
      </w:r>
      <w:proofErr w:type="spellStart"/>
      <w:r w:rsidR="00C6440B" w:rsidRPr="00677BC7">
        <w:rPr>
          <w:sz w:val="22"/>
          <w:szCs w:val="22"/>
        </w:rPr>
        <w:t>Miocevic</w:t>
      </w:r>
      <w:proofErr w:type="spellEnd"/>
      <w:r w:rsidR="00C6440B" w:rsidRPr="00677BC7">
        <w:rPr>
          <w:sz w:val="22"/>
          <w:szCs w:val="22"/>
        </w:rPr>
        <w:t xml:space="preserve">, </w:t>
      </w:r>
      <w:proofErr w:type="spellStart"/>
      <w:r w:rsidR="00C6440B" w:rsidRPr="00677BC7">
        <w:rPr>
          <w:sz w:val="22"/>
          <w:szCs w:val="22"/>
        </w:rPr>
        <w:t>Gnizy</w:t>
      </w:r>
      <w:proofErr w:type="spellEnd"/>
      <w:r w:rsidR="00C6440B" w:rsidRPr="00677BC7">
        <w:rPr>
          <w:sz w:val="22"/>
          <w:szCs w:val="22"/>
        </w:rPr>
        <w:t xml:space="preserve">, &amp; Cadogan 2023) and the welfare of consumers </w:t>
      </w:r>
      <w:r w:rsidR="00503608" w:rsidRPr="00677BC7">
        <w:rPr>
          <w:sz w:val="22"/>
          <w:szCs w:val="22"/>
        </w:rPr>
        <w:t xml:space="preserve">by limiting harm to them </w:t>
      </w:r>
      <w:r w:rsidR="00C6440B" w:rsidRPr="00677BC7">
        <w:rPr>
          <w:sz w:val="22"/>
          <w:szCs w:val="22"/>
        </w:rPr>
        <w:t>(Li et al., 2022). Responsiveness is key to a market orientation (</w:t>
      </w:r>
      <w:r w:rsidR="001C177B" w:rsidRPr="00677BC7">
        <w:rPr>
          <w:sz w:val="22"/>
          <w:szCs w:val="22"/>
        </w:rPr>
        <w:t xml:space="preserve">Smirnova, </w:t>
      </w:r>
      <w:proofErr w:type="spellStart"/>
      <w:r w:rsidR="001C177B" w:rsidRPr="00677BC7">
        <w:rPr>
          <w:sz w:val="22"/>
          <w:szCs w:val="22"/>
        </w:rPr>
        <w:t>Rebiazina</w:t>
      </w:r>
      <w:proofErr w:type="spellEnd"/>
      <w:r w:rsidR="001C177B" w:rsidRPr="00677BC7">
        <w:rPr>
          <w:sz w:val="22"/>
          <w:szCs w:val="22"/>
        </w:rPr>
        <w:t xml:space="preserve">, et al., </w:t>
      </w:r>
      <w:proofErr w:type="spellStart"/>
      <w:r w:rsidR="001C177B" w:rsidRPr="00677BC7">
        <w:rPr>
          <w:sz w:val="22"/>
          <w:szCs w:val="22"/>
        </w:rPr>
        <w:t>Frosen</w:t>
      </w:r>
      <w:proofErr w:type="spellEnd"/>
      <w:r w:rsidR="001C177B" w:rsidRPr="00677BC7">
        <w:rPr>
          <w:sz w:val="22"/>
          <w:szCs w:val="22"/>
        </w:rPr>
        <w:t>, 2018</w:t>
      </w:r>
      <w:r w:rsidR="00C6440B" w:rsidRPr="00677BC7">
        <w:rPr>
          <w:sz w:val="22"/>
          <w:szCs w:val="22"/>
        </w:rPr>
        <w:t>) and firms that display greater degrees of responsiveness benefit when they are in competitive markets because it signals a strong ability to respond to changing condition (</w:t>
      </w:r>
      <w:proofErr w:type="spellStart"/>
      <w:r w:rsidR="00C6440B" w:rsidRPr="00677BC7">
        <w:rPr>
          <w:sz w:val="22"/>
          <w:szCs w:val="22"/>
        </w:rPr>
        <w:t>Miocevic</w:t>
      </w:r>
      <w:proofErr w:type="spellEnd"/>
      <w:r w:rsidR="00C6440B" w:rsidRPr="00677BC7">
        <w:rPr>
          <w:sz w:val="22"/>
          <w:szCs w:val="22"/>
        </w:rPr>
        <w:t xml:space="preserve">, </w:t>
      </w:r>
      <w:proofErr w:type="spellStart"/>
      <w:r w:rsidR="00C6440B" w:rsidRPr="00677BC7">
        <w:rPr>
          <w:sz w:val="22"/>
          <w:szCs w:val="22"/>
        </w:rPr>
        <w:t>Gnizy</w:t>
      </w:r>
      <w:proofErr w:type="spellEnd"/>
      <w:r w:rsidR="00C6440B" w:rsidRPr="00677BC7">
        <w:rPr>
          <w:sz w:val="22"/>
          <w:szCs w:val="22"/>
        </w:rPr>
        <w:t>, &amp; Cadogan 2023). From a societal point of view, increased responsiveness limits harm to consumers and minimizes threats to public health (</w:t>
      </w:r>
      <w:r w:rsidR="001C177B" w:rsidRPr="00677BC7">
        <w:rPr>
          <w:sz w:val="22"/>
          <w:szCs w:val="22"/>
        </w:rPr>
        <w:t>Li et al., 2022; Park et al., 2022</w:t>
      </w:r>
      <w:r w:rsidR="00C6440B" w:rsidRPr="00677BC7">
        <w:rPr>
          <w:sz w:val="22"/>
          <w:szCs w:val="22"/>
        </w:rPr>
        <w:t xml:space="preserve">). </w:t>
      </w:r>
    </w:p>
    <w:p w14:paraId="3E05973D" w14:textId="27D29B14" w:rsidR="004373F8" w:rsidRPr="00677BC7" w:rsidRDefault="00DC51DE" w:rsidP="006324E2">
      <w:pPr>
        <w:spacing w:line="480" w:lineRule="auto"/>
        <w:ind w:firstLine="720"/>
        <w:rPr>
          <w:sz w:val="22"/>
          <w:szCs w:val="22"/>
        </w:rPr>
      </w:pPr>
      <w:r w:rsidRPr="00677BC7">
        <w:rPr>
          <w:sz w:val="22"/>
          <w:szCs w:val="22"/>
        </w:rPr>
        <w:lastRenderedPageBreak/>
        <w:t xml:space="preserve">It is important to note that firm responsiveness in the context of recalls is different from firm responsiveness in other contexts, where </w:t>
      </w:r>
      <w:r w:rsidR="006E7629" w:rsidRPr="00677BC7">
        <w:rPr>
          <w:sz w:val="22"/>
          <w:szCs w:val="22"/>
        </w:rPr>
        <w:t>optimal responsiveness</w:t>
      </w:r>
      <w:r w:rsidRPr="00677BC7">
        <w:rPr>
          <w:sz w:val="22"/>
          <w:szCs w:val="22"/>
        </w:rPr>
        <w:t xml:space="preserve"> is studied </w:t>
      </w:r>
      <w:r w:rsidR="00C6440B" w:rsidRPr="00677BC7">
        <w:rPr>
          <w:sz w:val="22"/>
          <w:szCs w:val="22"/>
        </w:rPr>
        <w:t>(</w:t>
      </w:r>
      <w:proofErr w:type="spellStart"/>
      <w:r w:rsidR="001C177B" w:rsidRPr="00677BC7">
        <w:rPr>
          <w:sz w:val="22"/>
          <w:szCs w:val="22"/>
        </w:rPr>
        <w:t>Gerchewski</w:t>
      </w:r>
      <w:proofErr w:type="spellEnd"/>
      <w:r w:rsidR="001C177B" w:rsidRPr="00677BC7">
        <w:rPr>
          <w:sz w:val="22"/>
          <w:szCs w:val="22"/>
        </w:rPr>
        <w:t>, Rose, &amp; Lindsay, 2015</w:t>
      </w:r>
      <w:r w:rsidR="00C6440B" w:rsidRPr="00677BC7">
        <w:rPr>
          <w:sz w:val="22"/>
          <w:szCs w:val="22"/>
        </w:rPr>
        <w:t>)</w:t>
      </w:r>
      <w:r w:rsidR="005D284C" w:rsidRPr="00677BC7">
        <w:rPr>
          <w:sz w:val="22"/>
          <w:szCs w:val="22"/>
        </w:rPr>
        <w:t xml:space="preserve">. From a purely economic perspective firms must be careful not to act too fast and unnecessarily </w:t>
      </w:r>
      <w:r w:rsidR="00906409" w:rsidRPr="00677BC7">
        <w:rPr>
          <w:sz w:val="22"/>
          <w:szCs w:val="22"/>
        </w:rPr>
        <w:t xml:space="preserve">recall a product when </w:t>
      </w:r>
      <w:r w:rsidRPr="00677BC7">
        <w:rPr>
          <w:sz w:val="22"/>
          <w:szCs w:val="22"/>
        </w:rPr>
        <w:t>a recall is not needed</w:t>
      </w:r>
      <w:r w:rsidR="005D284C" w:rsidRPr="00677BC7">
        <w:rPr>
          <w:sz w:val="22"/>
          <w:szCs w:val="22"/>
        </w:rPr>
        <w:t xml:space="preserve">. </w:t>
      </w:r>
      <w:r w:rsidR="00906409" w:rsidRPr="00677BC7">
        <w:rPr>
          <w:sz w:val="22"/>
          <w:szCs w:val="22"/>
        </w:rPr>
        <w:t xml:space="preserve">At the same time, prior research shows that firms face several negative consequences (e.g., loss of shareholder wealth, erosion of consumer confidence) when recalls are delayed (please see Li et al., 2022 for a review). Additionally, </w:t>
      </w:r>
      <w:r w:rsidR="005D284C" w:rsidRPr="00677BC7">
        <w:rPr>
          <w:sz w:val="22"/>
          <w:szCs w:val="22"/>
        </w:rPr>
        <w:t>automobile</w:t>
      </w:r>
      <w:r w:rsidRPr="00677BC7">
        <w:rPr>
          <w:sz w:val="22"/>
          <w:szCs w:val="22"/>
        </w:rPr>
        <w:t xml:space="preserve"> recall</w:t>
      </w:r>
      <w:r w:rsidR="005D284C" w:rsidRPr="00677BC7">
        <w:rPr>
          <w:sz w:val="22"/>
          <w:szCs w:val="22"/>
        </w:rPr>
        <w:t>s</w:t>
      </w:r>
      <w:r w:rsidR="00906409" w:rsidRPr="00677BC7">
        <w:rPr>
          <w:sz w:val="22"/>
          <w:szCs w:val="22"/>
        </w:rPr>
        <w:t xml:space="preserve"> pose a</w:t>
      </w:r>
      <w:r w:rsidR="005D284C" w:rsidRPr="00677BC7">
        <w:rPr>
          <w:sz w:val="22"/>
          <w:szCs w:val="22"/>
        </w:rPr>
        <w:t xml:space="preserve"> significant amount of consumer harm (</w:t>
      </w:r>
      <w:proofErr w:type="spellStart"/>
      <w:r w:rsidR="005D284C" w:rsidRPr="00677BC7">
        <w:rPr>
          <w:sz w:val="22"/>
          <w:szCs w:val="22"/>
        </w:rPr>
        <w:t>Miocevic</w:t>
      </w:r>
      <w:proofErr w:type="spellEnd"/>
      <w:r w:rsidR="005D284C" w:rsidRPr="00677BC7">
        <w:rPr>
          <w:sz w:val="22"/>
          <w:szCs w:val="22"/>
        </w:rPr>
        <w:t xml:space="preserve">, </w:t>
      </w:r>
      <w:proofErr w:type="spellStart"/>
      <w:r w:rsidR="005D284C" w:rsidRPr="00677BC7">
        <w:rPr>
          <w:sz w:val="22"/>
          <w:szCs w:val="22"/>
        </w:rPr>
        <w:t>Gnizy</w:t>
      </w:r>
      <w:proofErr w:type="spellEnd"/>
      <w:r w:rsidR="005D284C" w:rsidRPr="00677BC7">
        <w:rPr>
          <w:sz w:val="22"/>
          <w:szCs w:val="22"/>
        </w:rPr>
        <w:t xml:space="preserve">, &amp; Cadogan 2023). </w:t>
      </w:r>
      <w:r w:rsidR="00906409" w:rsidRPr="00677BC7">
        <w:rPr>
          <w:sz w:val="22"/>
          <w:szCs w:val="22"/>
        </w:rPr>
        <w:t xml:space="preserve">Given the consequences to firms and consumers due to product recalls, </w:t>
      </w:r>
      <w:r w:rsidR="006E7629" w:rsidRPr="00677BC7">
        <w:rPr>
          <w:sz w:val="22"/>
          <w:szCs w:val="22"/>
        </w:rPr>
        <w:t xml:space="preserve">the most detrimental scenario is acting too slowly </w:t>
      </w:r>
      <w:r w:rsidR="00906409" w:rsidRPr="00677BC7">
        <w:rPr>
          <w:sz w:val="22"/>
          <w:szCs w:val="22"/>
        </w:rPr>
        <w:t xml:space="preserve">when a recall was necessary </w:t>
      </w:r>
      <w:r w:rsidR="001C177B" w:rsidRPr="00677BC7">
        <w:rPr>
          <w:sz w:val="22"/>
          <w:szCs w:val="22"/>
        </w:rPr>
        <w:t>(Li et al., 2022</w:t>
      </w:r>
      <w:r w:rsidR="006E7629" w:rsidRPr="00677BC7">
        <w:rPr>
          <w:sz w:val="22"/>
          <w:szCs w:val="22"/>
        </w:rPr>
        <w:t xml:space="preserve">). </w:t>
      </w:r>
    </w:p>
    <w:p w14:paraId="384540D3" w14:textId="34A645D1" w:rsidR="00A85029" w:rsidRPr="00677BC7" w:rsidRDefault="00A85029" w:rsidP="006324E2">
      <w:pPr>
        <w:spacing w:line="480" w:lineRule="auto"/>
        <w:ind w:firstLine="720"/>
        <w:rPr>
          <w:sz w:val="22"/>
          <w:szCs w:val="22"/>
        </w:rPr>
      </w:pPr>
      <w:r w:rsidRPr="00677BC7">
        <w:rPr>
          <w:sz w:val="22"/>
          <w:szCs w:val="22"/>
        </w:rPr>
        <w:t xml:space="preserve">In sum, prior research on product recalls has highlighted the </w:t>
      </w:r>
      <w:r w:rsidR="00906409" w:rsidRPr="00677BC7">
        <w:rPr>
          <w:sz w:val="22"/>
          <w:szCs w:val="22"/>
        </w:rPr>
        <w:t>complexities of</w:t>
      </w:r>
      <w:r w:rsidRPr="00677BC7">
        <w:rPr>
          <w:sz w:val="22"/>
          <w:szCs w:val="22"/>
        </w:rPr>
        <w:t xml:space="preserve"> product</w:t>
      </w:r>
      <w:r w:rsidR="00906409" w:rsidRPr="00677BC7">
        <w:rPr>
          <w:sz w:val="22"/>
          <w:szCs w:val="22"/>
        </w:rPr>
        <w:t xml:space="preserve"> recall</w:t>
      </w:r>
      <w:r w:rsidRPr="00677BC7">
        <w:rPr>
          <w:sz w:val="22"/>
          <w:szCs w:val="22"/>
        </w:rPr>
        <w:t>s</w:t>
      </w:r>
      <w:r w:rsidR="00906409" w:rsidRPr="00677BC7">
        <w:rPr>
          <w:sz w:val="22"/>
          <w:szCs w:val="22"/>
        </w:rPr>
        <w:t xml:space="preserve"> and their consequences.</w:t>
      </w:r>
      <w:r w:rsidRPr="00677BC7">
        <w:rPr>
          <w:sz w:val="22"/>
          <w:szCs w:val="22"/>
        </w:rPr>
        <w:t xml:space="preserve"> This research has </w:t>
      </w:r>
      <w:r w:rsidR="00906409" w:rsidRPr="00677BC7">
        <w:rPr>
          <w:sz w:val="22"/>
          <w:szCs w:val="22"/>
        </w:rPr>
        <w:t>underscored the importance of firm responsiveness, which can be improved by designing</w:t>
      </w:r>
      <w:r w:rsidRPr="00677BC7">
        <w:rPr>
          <w:sz w:val="22"/>
          <w:szCs w:val="22"/>
        </w:rPr>
        <w:t xml:space="preserve"> policy and regulations</w:t>
      </w:r>
      <w:r w:rsidR="00906409" w:rsidRPr="00677BC7">
        <w:rPr>
          <w:sz w:val="22"/>
          <w:szCs w:val="22"/>
        </w:rPr>
        <w:t xml:space="preserve"> with an appropriate focus</w:t>
      </w:r>
      <w:r w:rsidRPr="00677BC7">
        <w:rPr>
          <w:sz w:val="22"/>
          <w:szCs w:val="22"/>
        </w:rPr>
        <w:t xml:space="preserve">.  </w:t>
      </w:r>
    </w:p>
    <w:p w14:paraId="790274E9" w14:textId="0FF7D38D" w:rsidR="005C5710" w:rsidRPr="00677BC7" w:rsidRDefault="002D6A77" w:rsidP="008966B3">
      <w:pPr>
        <w:rPr>
          <w:b/>
          <w:sz w:val="28"/>
          <w:szCs w:val="28"/>
        </w:rPr>
      </w:pPr>
      <w:r w:rsidRPr="00677BC7">
        <w:rPr>
          <w:b/>
          <w:sz w:val="28"/>
          <w:szCs w:val="28"/>
        </w:rPr>
        <w:t>HYPOTHESES</w:t>
      </w:r>
    </w:p>
    <w:p w14:paraId="610FF563" w14:textId="4D95C1AE" w:rsidR="00A85029" w:rsidRPr="008966B3" w:rsidRDefault="00A85029" w:rsidP="00677BC7">
      <w:pPr>
        <w:spacing w:before="240" w:line="480" w:lineRule="auto"/>
        <w:rPr>
          <w:b/>
          <w:bCs/>
          <w:iCs/>
          <w:sz w:val="22"/>
          <w:szCs w:val="22"/>
        </w:rPr>
      </w:pPr>
      <w:r w:rsidRPr="00677BC7">
        <w:rPr>
          <w:b/>
          <w:bCs/>
          <w:iCs/>
          <w:sz w:val="22"/>
          <w:szCs w:val="22"/>
        </w:rPr>
        <w:t xml:space="preserve">Focus of </w:t>
      </w:r>
      <w:r w:rsidR="007132B9">
        <w:rPr>
          <w:b/>
          <w:bCs/>
          <w:iCs/>
          <w:sz w:val="22"/>
          <w:szCs w:val="22"/>
        </w:rPr>
        <w:t xml:space="preserve">product safety </w:t>
      </w:r>
      <w:r w:rsidR="006324E2">
        <w:rPr>
          <w:b/>
          <w:bCs/>
          <w:iCs/>
          <w:sz w:val="22"/>
          <w:szCs w:val="22"/>
        </w:rPr>
        <w:t>r</w:t>
      </w:r>
      <w:r w:rsidRPr="00677BC7">
        <w:rPr>
          <w:b/>
          <w:bCs/>
          <w:iCs/>
          <w:sz w:val="22"/>
          <w:szCs w:val="22"/>
        </w:rPr>
        <w:t xml:space="preserve">egulations and </w:t>
      </w:r>
      <w:r w:rsidR="006324E2">
        <w:rPr>
          <w:b/>
          <w:bCs/>
          <w:iCs/>
          <w:sz w:val="22"/>
          <w:szCs w:val="22"/>
        </w:rPr>
        <w:t>f</w:t>
      </w:r>
      <w:r w:rsidRPr="00677BC7">
        <w:rPr>
          <w:b/>
          <w:bCs/>
          <w:iCs/>
          <w:sz w:val="22"/>
          <w:szCs w:val="22"/>
        </w:rPr>
        <w:t xml:space="preserve">irm </w:t>
      </w:r>
      <w:r w:rsidR="006324E2">
        <w:rPr>
          <w:b/>
          <w:bCs/>
          <w:iCs/>
          <w:sz w:val="22"/>
          <w:szCs w:val="22"/>
        </w:rPr>
        <w:t>r</w:t>
      </w:r>
      <w:r w:rsidRPr="008966B3">
        <w:rPr>
          <w:b/>
          <w:bCs/>
          <w:iCs/>
          <w:sz w:val="22"/>
          <w:szCs w:val="22"/>
        </w:rPr>
        <w:t xml:space="preserve">esponsiveness </w:t>
      </w:r>
    </w:p>
    <w:p w14:paraId="41ADC61D" w14:textId="703F196E" w:rsidR="007F19CC" w:rsidRPr="008966B3" w:rsidRDefault="00501190" w:rsidP="008966B3">
      <w:pPr>
        <w:spacing w:line="480" w:lineRule="auto"/>
        <w:ind w:firstLine="720"/>
        <w:rPr>
          <w:sz w:val="22"/>
          <w:szCs w:val="22"/>
        </w:rPr>
      </w:pPr>
      <w:r w:rsidRPr="008966B3">
        <w:rPr>
          <w:sz w:val="22"/>
          <w:szCs w:val="22"/>
        </w:rPr>
        <w:t>A country’s</w:t>
      </w:r>
      <w:r w:rsidR="007F19CC" w:rsidRPr="008966B3">
        <w:rPr>
          <w:sz w:val="22"/>
          <w:szCs w:val="22"/>
        </w:rPr>
        <w:t xml:space="preserve"> regulatory environment plays an important role in </w:t>
      </w:r>
      <w:r w:rsidRPr="008966B3">
        <w:rPr>
          <w:sz w:val="22"/>
          <w:szCs w:val="22"/>
        </w:rPr>
        <w:t xml:space="preserve">firm </w:t>
      </w:r>
      <w:r w:rsidR="007F19CC" w:rsidRPr="008966B3">
        <w:rPr>
          <w:sz w:val="22"/>
          <w:szCs w:val="22"/>
        </w:rPr>
        <w:t xml:space="preserve">responsiveness, as firms adjust their operations to deal with different institutional arrangements across their various operations (Dunning </w:t>
      </w:r>
      <w:r w:rsidR="00BE3A97" w:rsidRPr="008966B3">
        <w:rPr>
          <w:sz w:val="22"/>
          <w:szCs w:val="22"/>
        </w:rPr>
        <w:t>&amp;</w:t>
      </w:r>
      <w:r w:rsidR="007F19CC" w:rsidRPr="008966B3">
        <w:rPr>
          <w:sz w:val="22"/>
          <w:szCs w:val="22"/>
        </w:rPr>
        <w:t xml:space="preserve"> </w:t>
      </w:r>
      <w:proofErr w:type="spellStart"/>
      <w:r w:rsidR="007F19CC" w:rsidRPr="008966B3">
        <w:rPr>
          <w:sz w:val="22"/>
          <w:szCs w:val="22"/>
        </w:rPr>
        <w:t>Lundan</w:t>
      </w:r>
      <w:proofErr w:type="spellEnd"/>
      <w:r w:rsidR="00BE3A97" w:rsidRPr="008966B3">
        <w:rPr>
          <w:sz w:val="22"/>
          <w:szCs w:val="22"/>
        </w:rPr>
        <w:t>,</w:t>
      </w:r>
      <w:r w:rsidR="007F19CC" w:rsidRPr="008966B3">
        <w:rPr>
          <w:sz w:val="22"/>
          <w:szCs w:val="22"/>
        </w:rPr>
        <w:t xml:space="preserve"> 2008</w:t>
      </w:r>
      <w:r w:rsidR="00BE3A97" w:rsidRPr="008966B3">
        <w:rPr>
          <w:sz w:val="22"/>
          <w:szCs w:val="22"/>
        </w:rPr>
        <w:t>; Peng 2003</w:t>
      </w:r>
      <w:r w:rsidR="007F19CC" w:rsidRPr="008966B3">
        <w:rPr>
          <w:sz w:val="22"/>
          <w:szCs w:val="22"/>
        </w:rPr>
        <w:t xml:space="preserve">). Firm responses in </w:t>
      </w:r>
      <w:r w:rsidR="001205BD" w:rsidRPr="008966B3">
        <w:rPr>
          <w:sz w:val="22"/>
          <w:szCs w:val="22"/>
        </w:rPr>
        <w:t>a crisis</w:t>
      </w:r>
      <w:r w:rsidR="007F19CC" w:rsidRPr="008966B3">
        <w:rPr>
          <w:sz w:val="22"/>
          <w:szCs w:val="22"/>
        </w:rPr>
        <w:t xml:space="preserve"> are motivated to limit the subsequent damage (Chen, Ganesan, </w:t>
      </w:r>
      <w:r w:rsidR="00BE3A97" w:rsidRPr="008966B3">
        <w:rPr>
          <w:sz w:val="22"/>
          <w:szCs w:val="22"/>
        </w:rPr>
        <w:t>&amp;</w:t>
      </w:r>
      <w:r w:rsidR="007F19CC" w:rsidRPr="008966B3">
        <w:rPr>
          <w:sz w:val="22"/>
          <w:szCs w:val="22"/>
        </w:rPr>
        <w:t xml:space="preserve"> Liu</w:t>
      </w:r>
      <w:r w:rsidR="00BE3A97" w:rsidRPr="008966B3">
        <w:rPr>
          <w:sz w:val="22"/>
          <w:szCs w:val="22"/>
        </w:rPr>
        <w:t>,</w:t>
      </w:r>
      <w:r w:rsidR="007F19CC" w:rsidRPr="008966B3">
        <w:rPr>
          <w:sz w:val="22"/>
          <w:szCs w:val="22"/>
        </w:rPr>
        <w:t xml:space="preserve"> 2009), and a firm will therefore position its resources to react quickly if the damages of delayed response are high (Rupp</w:t>
      </w:r>
      <w:r w:rsidR="00BE3A97" w:rsidRPr="008966B3">
        <w:rPr>
          <w:sz w:val="22"/>
          <w:szCs w:val="22"/>
        </w:rPr>
        <w:t>,</w:t>
      </w:r>
      <w:r w:rsidR="007F19CC" w:rsidRPr="008966B3">
        <w:rPr>
          <w:sz w:val="22"/>
          <w:szCs w:val="22"/>
        </w:rPr>
        <w:t xml:space="preserve"> 2004). Thus, if the regulatory environment increases the damage that the firm could incur, the firm becomes incentivized to act expediently. </w:t>
      </w:r>
    </w:p>
    <w:p w14:paraId="2FD75C7D" w14:textId="751E44D0" w:rsidR="00276090" w:rsidRPr="008966B3" w:rsidRDefault="007206AD" w:rsidP="006324E2">
      <w:pPr>
        <w:spacing w:line="480" w:lineRule="auto"/>
        <w:rPr>
          <w:sz w:val="22"/>
          <w:szCs w:val="22"/>
        </w:rPr>
      </w:pPr>
      <w:r w:rsidRPr="008966B3">
        <w:rPr>
          <w:sz w:val="22"/>
          <w:szCs w:val="22"/>
        </w:rPr>
        <w:tab/>
      </w:r>
      <w:r w:rsidR="00276090" w:rsidRPr="008966B3">
        <w:rPr>
          <w:sz w:val="22"/>
          <w:szCs w:val="22"/>
        </w:rPr>
        <w:t xml:space="preserve">In the </w:t>
      </w:r>
      <w:r w:rsidR="002E1C4E" w:rsidRPr="008966B3">
        <w:rPr>
          <w:sz w:val="22"/>
          <w:szCs w:val="22"/>
        </w:rPr>
        <w:t>U.S</w:t>
      </w:r>
      <w:r w:rsidR="00512E56" w:rsidRPr="008966B3">
        <w:rPr>
          <w:sz w:val="22"/>
          <w:szCs w:val="22"/>
        </w:rPr>
        <w:t xml:space="preserve"> and Australia</w:t>
      </w:r>
      <w:r w:rsidR="00276090" w:rsidRPr="008966B3">
        <w:rPr>
          <w:sz w:val="22"/>
          <w:szCs w:val="22"/>
        </w:rPr>
        <w:t xml:space="preserve">, </w:t>
      </w:r>
      <w:r w:rsidR="001205BD" w:rsidRPr="008966B3">
        <w:rPr>
          <w:sz w:val="22"/>
          <w:szCs w:val="22"/>
        </w:rPr>
        <w:t xml:space="preserve">once a </w:t>
      </w:r>
      <w:r w:rsidR="00E03756">
        <w:rPr>
          <w:sz w:val="22"/>
          <w:szCs w:val="22"/>
        </w:rPr>
        <w:t xml:space="preserve">vehicle </w:t>
      </w:r>
      <w:r w:rsidR="001205BD" w:rsidRPr="008966B3">
        <w:rPr>
          <w:sz w:val="22"/>
          <w:szCs w:val="22"/>
        </w:rPr>
        <w:t>recall is issued the onus is on the consumer to get the fix</w:t>
      </w:r>
      <w:r w:rsidR="002E1C4E" w:rsidRPr="008966B3">
        <w:rPr>
          <w:sz w:val="22"/>
          <w:szCs w:val="22"/>
        </w:rPr>
        <w:t>;</w:t>
      </w:r>
      <w:r w:rsidR="001205BD" w:rsidRPr="008966B3">
        <w:rPr>
          <w:sz w:val="22"/>
          <w:szCs w:val="22"/>
        </w:rPr>
        <w:t xml:space="preserve"> </w:t>
      </w:r>
      <w:r w:rsidR="00276090" w:rsidRPr="008966B3">
        <w:rPr>
          <w:sz w:val="22"/>
          <w:szCs w:val="22"/>
        </w:rPr>
        <w:t xml:space="preserve">the company and the government have no power to penalize the consumer. Thus, the </w:t>
      </w:r>
      <w:r w:rsidR="002E1C4E" w:rsidRPr="008966B3">
        <w:rPr>
          <w:sz w:val="22"/>
          <w:szCs w:val="22"/>
        </w:rPr>
        <w:t>U.S</w:t>
      </w:r>
      <w:r w:rsidR="00276090" w:rsidRPr="008966B3">
        <w:rPr>
          <w:sz w:val="22"/>
          <w:szCs w:val="22"/>
        </w:rPr>
        <w:t xml:space="preserve"> </w:t>
      </w:r>
      <w:r w:rsidR="00512E56" w:rsidRPr="008966B3">
        <w:rPr>
          <w:sz w:val="22"/>
          <w:szCs w:val="22"/>
        </w:rPr>
        <w:t xml:space="preserve">and Australian markets </w:t>
      </w:r>
      <w:r w:rsidR="00276090" w:rsidRPr="008966B3">
        <w:rPr>
          <w:sz w:val="22"/>
          <w:szCs w:val="22"/>
        </w:rPr>
        <w:t>represent</w:t>
      </w:r>
      <w:r w:rsidR="00512E56" w:rsidRPr="008966B3">
        <w:rPr>
          <w:sz w:val="22"/>
          <w:szCs w:val="22"/>
        </w:rPr>
        <w:t xml:space="preserve"> </w:t>
      </w:r>
      <w:r w:rsidR="00276090" w:rsidRPr="008966B3">
        <w:rPr>
          <w:sz w:val="22"/>
          <w:szCs w:val="22"/>
        </w:rPr>
        <w:t>market</w:t>
      </w:r>
      <w:r w:rsidR="00512E56" w:rsidRPr="008966B3">
        <w:rPr>
          <w:sz w:val="22"/>
          <w:szCs w:val="22"/>
        </w:rPr>
        <w:t>s</w:t>
      </w:r>
      <w:r w:rsidR="00276090" w:rsidRPr="008966B3">
        <w:rPr>
          <w:sz w:val="22"/>
          <w:szCs w:val="22"/>
        </w:rPr>
        <w:t xml:space="preserve"> where </w:t>
      </w:r>
      <w:r w:rsidR="001B309C" w:rsidRPr="008966B3">
        <w:rPr>
          <w:sz w:val="22"/>
          <w:szCs w:val="22"/>
        </w:rPr>
        <w:t xml:space="preserve">the regulatory focus </w:t>
      </w:r>
      <w:r w:rsidR="00276090" w:rsidRPr="008966B3">
        <w:rPr>
          <w:sz w:val="22"/>
          <w:szCs w:val="22"/>
        </w:rPr>
        <w:t xml:space="preserve">is on the </w:t>
      </w:r>
      <w:r w:rsidR="00871C98" w:rsidRPr="008966B3">
        <w:rPr>
          <w:sz w:val="22"/>
          <w:szCs w:val="22"/>
        </w:rPr>
        <w:t xml:space="preserve">manufacturer </w:t>
      </w:r>
      <w:r w:rsidR="00276090" w:rsidRPr="008966B3">
        <w:rPr>
          <w:sz w:val="22"/>
          <w:szCs w:val="22"/>
        </w:rPr>
        <w:t>to fix the product after it has been recalled.</w:t>
      </w:r>
      <w:r w:rsidR="001205BD" w:rsidRPr="008966B3">
        <w:rPr>
          <w:sz w:val="22"/>
          <w:szCs w:val="22"/>
        </w:rPr>
        <w:t xml:space="preserve"> </w:t>
      </w:r>
      <w:r w:rsidR="00276090" w:rsidRPr="008966B3">
        <w:rPr>
          <w:sz w:val="22"/>
          <w:szCs w:val="22"/>
        </w:rPr>
        <w:t xml:space="preserve">In comparison, the </w:t>
      </w:r>
      <w:r w:rsidR="007132B9">
        <w:rPr>
          <w:sz w:val="22"/>
          <w:szCs w:val="22"/>
        </w:rPr>
        <w:t xml:space="preserve">product safety </w:t>
      </w:r>
      <w:r w:rsidR="00276090" w:rsidRPr="008966B3">
        <w:rPr>
          <w:sz w:val="22"/>
          <w:szCs w:val="22"/>
        </w:rPr>
        <w:t xml:space="preserve">regulations governing auto recalls in the </w:t>
      </w:r>
      <w:r w:rsidR="002E1C4E" w:rsidRPr="008966B3">
        <w:rPr>
          <w:sz w:val="22"/>
          <w:szCs w:val="22"/>
        </w:rPr>
        <w:t>U.K</w:t>
      </w:r>
      <w:r w:rsidR="00276090" w:rsidRPr="008966B3">
        <w:rPr>
          <w:sz w:val="22"/>
          <w:szCs w:val="22"/>
        </w:rPr>
        <w:t xml:space="preserve"> </w:t>
      </w:r>
      <w:r w:rsidR="00512E56" w:rsidRPr="008966B3">
        <w:rPr>
          <w:sz w:val="22"/>
          <w:szCs w:val="22"/>
        </w:rPr>
        <w:t xml:space="preserve">and Germany </w:t>
      </w:r>
      <w:r w:rsidR="00276090" w:rsidRPr="008966B3">
        <w:rPr>
          <w:sz w:val="22"/>
          <w:szCs w:val="22"/>
        </w:rPr>
        <w:t xml:space="preserve">place greater </w:t>
      </w:r>
      <w:r w:rsidR="00871C98" w:rsidRPr="008966B3">
        <w:rPr>
          <w:sz w:val="22"/>
          <w:szCs w:val="22"/>
        </w:rPr>
        <w:t xml:space="preserve">regulatory focus </w:t>
      </w:r>
      <w:r w:rsidR="00276090" w:rsidRPr="008966B3">
        <w:rPr>
          <w:sz w:val="22"/>
          <w:szCs w:val="22"/>
        </w:rPr>
        <w:t>on consumers to have their cars fixed once a recall has been issued</w:t>
      </w:r>
      <w:r w:rsidR="00607163">
        <w:rPr>
          <w:sz w:val="22"/>
          <w:szCs w:val="22"/>
        </w:rPr>
        <w:t xml:space="preserve"> which results in consumer liability for the repairs to their vehicles</w:t>
      </w:r>
      <w:r w:rsidR="00276090" w:rsidRPr="008966B3">
        <w:rPr>
          <w:sz w:val="22"/>
          <w:szCs w:val="22"/>
        </w:rPr>
        <w:t>.</w:t>
      </w:r>
      <w:r w:rsidR="00281757" w:rsidRPr="008966B3">
        <w:rPr>
          <w:sz w:val="22"/>
          <w:szCs w:val="22"/>
        </w:rPr>
        <w:t xml:space="preserve"> In the </w:t>
      </w:r>
      <w:r w:rsidR="002E1C4E" w:rsidRPr="008966B3">
        <w:rPr>
          <w:sz w:val="22"/>
          <w:szCs w:val="22"/>
        </w:rPr>
        <w:t>U.K</w:t>
      </w:r>
      <w:r w:rsidR="00281757" w:rsidRPr="008966B3">
        <w:rPr>
          <w:sz w:val="22"/>
          <w:szCs w:val="22"/>
        </w:rPr>
        <w:t xml:space="preserve">, regulatory </w:t>
      </w:r>
      <w:r w:rsidR="00281757" w:rsidRPr="008966B3">
        <w:rPr>
          <w:sz w:val="22"/>
          <w:szCs w:val="22"/>
        </w:rPr>
        <w:lastRenderedPageBreak/>
        <w:t>authorities have the power to impound cars that have not been fixed while in Germany, vehicles can be denied their registration renewal if the recall was not corrected.</w:t>
      </w:r>
      <w:r w:rsidR="00E03756">
        <w:rPr>
          <w:sz w:val="22"/>
          <w:szCs w:val="22"/>
        </w:rPr>
        <w:t xml:space="preserve"> The regulatory focus we have outlined in the four markets pertains to </w:t>
      </w:r>
      <w:r w:rsidR="00CC779F">
        <w:rPr>
          <w:sz w:val="22"/>
          <w:szCs w:val="22"/>
        </w:rPr>
        <w:t xml:space="preserve">product </w:t>
      </w:r>
      <w:r w:rsidR="00E03756">
        <w:rPr>
          <w:sz w:val="22"/>
          <w:szCs w:val="22"/>
        </w:rPr>
        <w:t xml:space="preserve">recalls only. </w:t>
      </w:r>
    </w:p>
    <w:p w14:paraId="34640A12" w14:textId="0DDD7E94" w:rsidR="00C2117F" w:rsidRPr="008966B3" w:rsidRDefault="00643044" w:rsidP="006324E2">
      <w:pPr>
        <w:spacing w:line="480" w:lineRule="auto"/>
        <w:rPr>
          <w:sz w:val="22"/>
          <w:szCs w:val="22"/>
        </w:rPr>
      </w:pPr>
      <w:r w:rsidRPr="008966B3">
        <w:rPr>
          <w:sz w:val="22"/>
          <w:szCs w:val="22"/>
        </w:rPr>
        <w:tab/>
        <w:t xml:space="preserve">When </w:t>
      </w:r>
      <w:r w:rsidR="00607163">
        <w:rPr>
          <w:sz w:val="22"/>
          <w:szCs w:val="22"/>
        </w:rPr>
        <w:t xml:space="preserve">product safety regulations create consumer liability </w:t>
      </w:r>
      <w:r w:rsidR="00D10F6D" w:rsidRPr="008966B3">
        <w:rPr>
          <w:sz w:val="22"/>
          <w:szCs w:val="22"/>
        </w:rPr>
        <w:t>they are more onerous and expanded</w:t>
      </w:r>
      <w:r w:rsidR="002E1C4E" w:rsidRPr="008966B3">
        <w:rPr>
          <w:sz w:val="22"/>
          <w:szCs w:val="22"/>
        </w:rPr>
        <w:t xml:space="preserve">, involving </w:t>
      </w:r>
      <w:r w:rsidR="008811C1" w:rsidRPr="008966B3">
        <w:rPr>
          <w:sz w:val="22"/>
          <w:szCs w:val="22"/>
        </w:rPr>
        <w:t>multiple stakeholders</w:t>
      </w:r>
      <w:r w:rsidR="00B31BEC" w:rsidRPr="008966B3">
        <w:rPr>
          <w:sz w:val="22"/>
          <w:szCs w:val="22"/>
        </w:rPr>
        <w:t xml:space="preserve"> </w:t>
      </w:r>
      <w:r w:rsidR="002E1C4E" w:rsidRPr="008966B3">
        <w:rPr>
          <w:sz w:val="22"/>
          <w:szCs w:val="22"/>
        </w:rPr>
        <w:t>who</w:t>
      </w:r>
      <w:r w:rsidR="00B31BEC" w:rsidRPr="008966B3">
        <w:rPr>
          <w:sz w:val="22"/>
          <w:szCs w:val="22"/>
        </w:rPr>
        <w:t xml:space="preserve"> plan and direct operations on the scale that would be needed to reach thousands of consumers. </w:t>
      </w:r>
      <w:r w:rsidR="00C2117F" w:rsidRPr="008966B3">
        <w:rPr>
          <w:sz w:val="22"/>
          <w:szCs w:val="22"/>
        </w:rPr>
        <w:t>T</w:t>
      </w:r>
      <w:r w:rsidR="00D10F6D" w:rsidRPr="008966B3">
        <w:rPr>
          <w:sz w:val="22"/>
          <w:szCs w:val="22"/>
        </w:rPr>
        <w:t>he agenc</w:t>
      </w:r>
      <w:r w:rsidR="00512E56" w:rsidRPr="008966B3">
        <w:rPr>
          <w:sz w:val="22"/>
          <w:szCs w:val="22"/>
        </w:rPr>
        <w:t>ies</w:t>
      </w:r>
      <w:r w:rsidR="00D10F6D" w:rsidRPr="008966B3">
        <w:rPr>
          <w:sz w:val="22"/>
          <w:szCs w:val="22"/>
        </w:rPr>
        <w:t xml:space="preserve"> responsible for the response (</w:t>
      </w:r>
      <w:r w:rsidR="002D2B42" w:rsidRPr="008966B3">
        <w:rPr>
          <w:sz w:val="22"/>
          <w:szCs w:val="22"/>
        </w:rPr>
        <w:t>DVSA</w:t>
      </w:r>
      <w:r w:rsidR="00512E56" w:rsidRPr="008966B3">
        <w:rPr>
          <w:sz w:val="22"/>
          <w:szCs w:val="22"/>
        </w:rPr>
        <w:t xml:space="preserve"> in the U.K and KBA in Germany</w:t>
      </w:r>
      <w:r w:rsidR="00D10F6D" w:rsidRPr="008966B3">
        <w:rPr>
          <w:sz w:val="22"/>
          <w:szCs w:val="22"/>
        </w:rPr>
        <w:t xml:space="preserve">) must deem the </w:t>
      </w:r>
      <w:r w:rsidR="00C2117F" w:rsidRPr="008966B3">
        <w:rPr>
          <w:sz w:val="22"/>
          <w:szCs w:val="22"/>
        </w:rPr>
        <w:t>product flaw</w:t>
      </w:r>
      <w:r w:rsidR="00D10F6D" w:rsidRPr="008966B3">
        <w:rPr>
          <w:sz w:val="22"/>
          <w:szCs w:val="22"/>
        </w:rPr>
        <w:t xml:space="preserve"> severe enough </w:t>
      </w:r>
      <w:r w:rsidR="00C2117F" w:rsidRPr="008966B3">
        <w:rPr>
          <w:sz w:val="22"/>
          <w:szCs w:val="22"/>
        </w:rPr>
        <w:t xml:space="preserve">for it to be a </w:t>
      </w:r>
      <w:r w:rsidR="00D10F6D" w:rsidRPr="008966B3">
        <w:rPr>
          <w:sz w:val="22"/>
          <w:szCs w:val="22"/>
        </w:rPr>
        <w:t xml:space="preserve">significant threat to public safety. It </w:t>
      </w:r>
      <w:r w:rsidR="00C2117F" w:rsidRPr="008966B3">
        <w:rPr>
          <w:sz w:val="22"/>
          <w:szCs w:val="22"/>
        </w:rPr>
        <w:t xml:space="preserve">then communicates that threat to law enforcement and co-ordinates </w:t>
      </w:r>
      <w:r w:rsidR="00D10F6D" w:rsidRPr="008966B3">
        <w:rPr>
          <w:sz w:val="22"/>
          <w:szCs w:val="22"/>
        </w:rPr>
        <w:t xml:space="preserve">the response </w:t>
      </w:r>
      <w:r w:rsidR="008811C1" w:rsidRPr="008966B3">
        <w:rPr>
          <w:sz w:val="22"/>
          <w:szCs w:val="22"/>
        </w:rPr>
        <w:t>by law enforcement personnel</w:t>
      </w:r>
      <w:r w:rsidR="00E01BC2" w:rsidRPr="008966B3">
        <w:rPr>
          <w:sz w:val="22"/>
          <w:szCs w:val="22"/>
        </w:rPr>
        <w:t>.</w:t>
      </w:r>
      <w:r w:rsidR="00C2117F" w:rsidRPr="008966B3">
        <w:rPr>
          <w:sz w:val="22"/>
          <w:szCs w:val="22"/>
        </w:rPr>
        <w:t xml:space="preserve"> Targeting consumers </w:t>
      </w:r>
      <w:r w:rsidR="008F6351" w:rsidRPr="008966B3">
        <w:rPr>
          <w:sz w:val="22"/>
          <w:szCs w:val="22"/>
        </w:rPr>
        <w:t>with penalties is a massive undertaking that is viewed as a last resort (</w:t>
      </w:r>
      <w:r w:rsidR="00EE559E" w:rsidRPr="008966B3">
        <w:rPr>
          <w:sz w:val="22"/>
          <w:szCs w:val="22"/>
        </w:rPr>
        <w:t>Attwell et al., 2018</w:t>
      </w:r>
      <w:r w:rsidR="008F6351" w:rsidRPr="008966B3">
        <w:rPr>
          <w:sz w:val="22"/>
          <w:szCs w:val="22"/>
        </w:rPr>
        <w:t xml:space="preserve">). Authorities and policy makers risk the negative </w:t>
      </w:r>
      <w:r w:rsidR="00C35358" w:rsidRPr="008966B3">
        <w:rPr>
          <w:sz w:val="22"/>
          <w:szCs w:val="22"/>
        </w:rPr>
        <w:t>reaction</w:t>
      </w:r>
      <w:r w:rsidR="008F6351" w:rsidRPr="008966B3">
        <w:rPr>
          <w:sz w:val="22"/>
          <w:szCs w:val="22"/>
        </w:rPr>
        <w:t xml:space="preserve"> of a perceived loss of freedom (</w:t>
      </w:r>
      <w:r w:rsidR="00EE559E" w:rsidRPr="008966B3">
        <w:rPr>
          <w:sz w:val="22"/>
          <w:szCs w:val="22"/>
        </w:rPr>
        <w:t>Attwell et al., 2018; Cohen &amp; Einav, 2003</w:t>
      </w:r>
      <w:r w:rsidR="008F6351" w:rsidRPr="008966B3">
        <w:rPr>
          <w:sz w:val="22"/>
          <w:szCs w:val="22"/>
        </w:rPr>
        <w:t xml:space="preserve">). For example, </w:t>
      </w:r>
      <w:r w:rsidR="000F02E6" w:rsidRPr="008966B3">
        <w:rPr>
          <w:sz w:val="22"/>
          <w:szCs w:val="22"/>
        </w:rPr>
        <w:t>when seat belts were first introduced, they were optional in most U.S states</w:t>
      </w:r>
      <w:r w:rsidR="009838BE" w:rsidRPr="008966B3">
        <w:rPr>
          <w:sz w:val="22"/>
          <w:szCs w:val="22"/>
        </w:rPr>
        <w:t xml:space="preserve"> (Shults et al., 2004)</w:t>
      </w:r>
      <w:r w:rsidR="000F02E6" w:rsidRPr="008966B3">
        <w:rPr>
          <w:sz w:val="22"/>
          <w:szCs w:val="22"/>
        </w:rPr>
        <w:t xml:space="preserve">. Drivers were encouraged to wear them but there was no penalty for non-usage. Over time, as road fatalities continued to rise, </w:t>
      </w:r>
      <w:r w:rsidR="009838BE" w:rsidRPr="008966B3">
        <w:rPr>
          <w:sz w:val="22"/>
          <w:szCs w:val="22"/>
        </w:rPr>
        <w:t>eighteen states and the District of Columbia made enforcement of seat belt laws a primary offence meaning that motorists could be stopped solely for being unbelted (Shults et al., 2004). A further thirty-one states cr</w:t>
      </w:r>
      <w:r w:rsidR="00A37EFB">
        <w:rPr>
          <w:sz w:val="22"/>
          <w:szCs w:val="22"/>
        </w:rPr>
        <w:t>e</w:t>
      </w:r>
      <w:r w:rsidR="009838BE" w:rsidRPr="008966B3">
        <w:rPr>
          <w:sz w:val="22"/>
          <w:szCs w:val="22"/>
        </w:rPr>
        <w:t>ated secondary laws that allowed law enforcement to fine an unbelted motorist if the motorist had been stopped for another violation (Shults et al., 2004)</w:t>
      </w:r>
      <w:r w:rsidR="00AB40B2" w:rsidRPr="008966B3">
        <w:rPr>
          <w:sz w:val="22"/>
          <w:szCs w:val="22"/>
        </w:rPr>
        <w:t>. Consumer rights groups pushed back on the proposed mandates</w:t>
      </w:r>
      <w:r w:rsidR="002E1C4E" w:rsidRPr="008966B3">
        <w:rPr>
          <w:sz w:val="22"/>
          <w:szCs w:val="22"/>
        </w:rPr>
        <w:t>,</w:t>
      </w:r>
      <w:r w:rsidR="00AB40B2" w:rsidRPr="008966B3">
        <w:rPr>
          <w:sz w:val="22"/>
          <w:szCs w:val="22"/>
        </w:rPr>
        <w:t xml:space="preserve"> which they viewed as a loss of freedom</w:t>
      </w:r>
      <w:r w:rsidR="008811C1" w:rsidRPr="008966B3">
        <w:rPr>
          <w:sz w:val="22"/>
          <w:szCs w:val="22"/>
        </w:rPr>
        <w:t xml:space="preserve"> and burdensome (</w:t>
      </w:r>
      <w:proofErr w:type="spellStart"/>
      <w:r w:rsidR="00EC29BB" w:rsidRPr="008966B3">
        <w:rPr>
          <w:sz w:val="22"/>
          <w:szCs w:val="22"/>
        </w:rPr>
        <w:t>Roos</w:t>
      </w:r>
      <w:proofErr w:type="spellEnd"/>
      <w:r w:rsidR="00EC29BB" w:rsidRPr="008966B3">
        <w:rPr>
          <w:sz w:val="22"/>
          <w:szCs w:val="22"/>
        </w:rPr>
        <w:t>, 2020</w:t>
      </w:r>
      <w:r w:rsidR="008811C1" w:rsidRPr="008966B3">
        <w:rPr>
          <w:sz w:val="22"/>
          <w:szCs w:val="22"/>
        </w:rPr>
        <w:t>)</w:t>
      </w:r>
      <w:r w:rsidR="00AB40B2" w:rsidRPr="008966B3">
        <w:rPr>
          <w:sz w:val="22"/>
          <w:szCs w:val="22"/>
        </w:rPr>
        <w:t>. After lengthy battles in state legislatures and courts</w:t>
      </w:r>
      <w:r w:rsidR="002E1C4E" w:rsidRPr="008966B3">
        <w:rPr>
          <w:sz w:val="22"/>
          <w:szCs w:val="22"/>
        </w:rPr>
        <w:t>,</w:t>
      </w:r>
      <w:r w:rsidR="00AB40B2" w:rsidRPr="008966B3">
        <w:rPr>
          <w:sz w:val="22"/>
          <w:szCs w:val="22"/>
        </w:rPr>
        <w:t xml:space="preserve"> the act of mandating seat belt usage</w:t>
      </w:r>
      <w:r w:rsidR="009838BE" w:rsidRPr="008966B3">
        <w:rPr>
          <w:sz w:val="22"/>
          <w:szCs w:val="22"/>
        </w:rPr>
        <w:t xml:space="preserve"> (as a primary </w:t>
      </w:r>
      <w:r w:rsidR="00051E3B" w:rsidRPr="008966B3">
        <w:rPr>
          <w:sz w:val="22"/>
          <w:szCs w:val="22"/>
        </w:rPr>
        <w:t xml:space="preserve">or </w:t>
      </w:r>
      <w:r w:rsidR="009838BE" w:rsidRPr="008966B3">
        <w:rPr>
          <w:sz w:val="22"/>
          <w:szCs w:val="22"/>
        </w:rPr>
        <w:t>secondary offence)</w:t>
      </w:r>
      <w:r w:rsidR="00AB40B2" w:rsidRPr="008966B3">
        <w:rPr>
          <w:sz w:val="22"/>
          <w:szCs w:val="22"/>
        </w:rPr>
        <w:t xml:space="preserve"> </w:t>
      </w:r>
      <w:r w:rsidR="009838BE" w:rsidRPr="008966B3">
        <w:rPr>
          <w:sz w:val="22"/>
          <w:szCs w:val="22"/>
        </w:rPr>
        <w:t>for the purpose of public safety w</w:t>
      </w:r>
      <w:r w:rsidR="00AB40B2" w:rsidRPr="008966B3">
        <w:rPr>
          <w:sz w:val="22"/>
          <w:szCs w:val="22"/>
        </w:rPr>
        <w:t>as accomplished in 49 of the 50 States</w:t>
      </w:r>
      <w:r w:rsidR="00EC29BB" w:rsidRPr="008966B3">
        <w:rPr>
          <w:sz w:val="22"/>
          <w:szCs w:val="22"/>
        </w:rPr>
        <w:t xml:space="preserve"> (</w:t>
      </w:r>
      <w:proofErr w:type="spellStart"/>
      <w:r w:rsidR="00EC29BB" w:rsidRPr="008966B3">
        <w:rPr>
          <w:sz w:val="22"/>
          <w:szCs w:val="22"/>
        </w:rPr>
        <w:t>Roos</w:t>
      </w:r>
      <w:proofErr w:type="spellEnd"/>
      <w:r w:rsidR="00EC29BB" w:rsidRPr="008966B3">
        <w:rPr>
          <w:sz w:val="22"/>
          <w:szCs w:val="22"/>
        </w:rPr>
        <w:t>, 2020)</w:t>
      </w:r>
      <w:r w:rsidR="00AB40B2" w:rsidRPr="008966B3">
        <w:rPr>
          <w:sz w:val="22"/>
          <w:szCs w:val="22"/>
        </w:rPr>
        <w:t xml:space="preserve">. </w:t>
      </w:r>
    </w:p>
    <w:p w14:paraId="60EB6381" w14:textId="054D9B7B" w:rsidR="00FD036E" w:rsidRPr="008966B3" w:rsidRDefault="00FD036E" w:rsidP="006324E2">
      <w:pPr>
        <w:spacing w:line="480" w:lineRule="auto"/>
        <w:ind w:firstLine="709"/>
        <w:rPr>
          <w:sz w:val="22"/>
          <w:szCs w:val="22"/>
        </w:rPr>
      </w:pPr>
      <w:r w:rsidRPr="008966B3">
        <w:rPr>
          <w:sz w:val="22"/>
          <w:szCs w:val="22"/>
        </w:rPr>
        <w:t>In markets</w:t>
      </w:r>
      <w:r w:rsidR="00A85029" w:rsidRPr="008966B3">
        <w:rPr>
          <w:sz w:val="22"/>
          <w:szCs w:val="22"/>
        </w:rPr>
        <w:t xml:space="preserve"> where the regulatory focus is on the manufacturer, the cost </w:t>
      </w:r>
      <w:r w:rsidRPr="008966B3">
        <w:rPr>
          <w:sz w:val="22"/>
          <w:szCs w:val="22"/>
        </w:rPr>
        <w:t xml:space="preserve">of recalls </w:t>
      </w:r>
      <w:r w:rsidR="00A85029" w:rsidRPr="008966B3">
        <w:rPr>
          <w:sz w:val="22"/>
          <w:szCs w:val="22"/>
        </w:rPr>
        <w:t>(monetary, punitive, reputational) increases linearly over time</w:t>
      </w:r>
      <w:r w:rsidR="006000C1" w:rsidRPr="008966B3">
        <w:rPr>
          <w:sz w:val="22"/>
          <w:szCs w:val="22"/>
        </w:rPr>
        <w:t xml:space="preserve"> as more and more reports of product failures are accumulated and more products are also sold during that time</w:t>
      </w:r>
      <w:r w:rsidR="00A85029" w:rsidRPr="008966B3">
        <w:rPr>
          <w:sz w:val="22"/>
          <w:szCs w:val="22"/>
        </w:rPr>
        <w:t xml:space="preserve">. Firms will have to incur more costs </w:t>
      </w:r>
      <w:r w:rsidRPr="008966B3">
        <w:rPr>
          <w:sz w:val="22"/>
          <w:szCs w:val="22"/>
        </w:rPr>
        <w:t xml:space="preserve">for a recall </w:t>
      </w:r>
      <w:r w:rsidR="00A85029" w:rsidRPr="008966B3">
        <w:rPr>
          <w:sz w:val="22"/>
          <w:szCs w:val="22"/>
        </w:rPr>
        <w:t>as more products are released into the market because delaying action increases legal liability for the firm and increases the negative publicity (</w:t>
      </w:r>
      <w:r w:rsidR="008966B3">
        <w:rPr>
          <w:sz w:val="22"/>
          <w:szCs w:val="22"/>
        </w:rPr>
        <w:t>Chen, Ganesan, &amp; Liu, 2009</w:t>
      </w:r>
      <w:r w:rsidR="00A85029" w:rsidRPr="008966B3">
        <w:rPr>
          <w:sz w:val="22"/>
          <w:szCs w:val="22"/>
        </w:rPr>
        <w:t xml:space="preserve">). </w:t>
      </w:r>
    </w:p>
    <w:p w14:paraId="7403F914" w14:textId="55A6BFFA" w:rsidR="00276090" w:rsidRPr="008966B3" w:rsidRDefault="00FD036E" w:rsidP="006324E2">
      <w:pPr>
        <w:spacing w:line="480" w:lineRule="auto"/>
        <w:ind w:firstLine="709"/>
        <w:rPr>
          <w:sz w:val="22"/>
          <w:szCs w:val="22"/>
        </w:rPr>
      </w:pPr>
      <w:r w:rsidRPr="008966B3">
        <w:rPr>
          <w:sz w:val="22"/>
          <w:szCs w:val="22"/>
        </w:rPr>
        <w:lastRenderedPageBreak/>
        <w:t xml:space="preserve">In addition to the recall costs faced by firms in markets where the regulatory focus is on the manufacturer (i.e., monetary, punitive, reputational), </w:t>
      </w:r>
      <w:r w:rsidR="00B91997" w:rsidRPr="008966B3">
        <w:rPr>
          <w:sz w:val="22"/>
          <w:szCs w:val="22"/>
        </w:rPr>
        <w:t xml:space="preserve">firms in markets where </w:t>
      </w:r>
      <w:r w:rsidR="00607163">
        <w:rPr>
          <w:sz w:val="22"/>
          <w:szCs w:val="22"/>
        </w:rPr>
        <w:t>consumer liability is created</w:t>
      </w:r>
      <w:r w:rsidR="00B91997" w:rsidRPr="008966B3">
        <w:rPr>
          <w:sz w:val="22"/>
          <w:szCs w:val="22"/>
        </w:rPr>
        <w:t xml:space="preserve"> face additional costs, such as </w:t>
      </w:r>
      <w:r w:rsidRPr="008966B3">
        <w:rPr>
          <w:sz w:val="22"/>
          <w:szCs w:val="22"/>
        </w:rPr>
        <w:t xml:space="preserve">a backlash from consumers. It is well established that firms expend considerable resources to build relationships with customers (Reinartz, Thomas, &amp; Kumar, 2005; Thomas, 2001). Imposing a cost on consumers after the product is purchased risks violating that relationship. </w:t>
      </w:r>
      <w:r w:rsidR="00B91997" w:rsidRPr="008966B3">
        <w:rPr>
          <w:sz w:val="22"/>
          <w:szCs w:val="22"/>
        </w:rPr>
        <w:t xml:space="preserve">When </w:t>
      </w:r>
      <w:r w:rsidR="006000C1" w:rsidRPr="008966B3">
        <w:rPr>
          <w:sz w:val="22"/>
          <w:szCs w:val="22"/>
        </w:rPr>
        <w:t>consumers become the target of the regulatory action</w:t>
      </w:r>
      <w:r w:rsidR="00B91997" w:rsidRPr="008966B3">
        <w:rPr>
          <w:sz w:val="22"/>
          <w:szCs w:val="22"/>
        </w:rPr>
        <w:t>, it</w:t>
      </w:r>
      <w:r w:rsidR="006000C1" w:rsidRPr="008966B3">
        <w:rPr>
          <w:sz w:val="22"/>
          <w:szCs w:val="22"/>
        </w:rPr>
        <w:t xml:space="preserve"> represents a significant increase of the cost for firms because it adds a viable threat to consumer relationships due to consumer psychological reactance (Clee and Wicklund 1980). In short, when consumers are targeted, the recall costs increase for firms</w:t>
      </w:r>
      <w:r w:rsidR="00B91997" w:rsidRPr="008966B3">
        <w:rPr>
          <w:sz w:val="22"/>
          <w:szCs w:val="22"/>
        </w:rPr>
        <w:t xml:space="preserve">. </w:t>
      </w:r>
      <w:r w:rsidR="00A85029" w:rsidRPr="008966B3">
        <w:rPr>
          <w:sz w:val="22"/>
          <w:szCs w:val="22"/>
        </w:rPr>
        <w:t xml:space="preserve">Therefore, firms will be motivated to act before the cost is imposed on consumers as well as the firm. Thus, </w:t>
      </w:r>
      <w:r w:rsidR="00B91997" w:rsidRPr="008966B3">
        <w:rPr>
          <w:sz w:val="22"/>
          <w:szCs w:val="22"/>
        </w:rPr>
        <w:t xml:space="preserve">firms operating in </w:t>
      </w:r>
      <w:r w:rsidR="00A85029" w:rsidRPr="008966B3">
        <w:rPr>
          <w:sz w:val="22"/>
          <w:szCs w:val="22"/>
        </w:rPr>
        <w:t xml:space="preserve">markets that </w:t>
      </w:r>
      <w:r w:rsidR="00910DE4">
        <w:rPr>
          <w:sz w:val="22"/>
          <w:szCs w:val="22"/>
        </w:rPr>
        <w:t>include consumer liability</w:t>
      </w:r>
      <w:r w:rsidR="00A85029" w:rsidRPr="008966B3">
        <w:rPr>
          <w:sz w:val="22"/>
          <w:szCs w:val="22"/>
        </w:rPr>
        <w:t xml:space="preserve"> are likely to </w:t>
      </w:r>
      <w:r w:rsidR="00B91997" w:rsidRPr="008966B3">
        <w:rPr>
          <w:sz w:val="22"/>
          <w:szCs w:val="22"/>
        </w:rPr>
        <w:t xml:space="preserve">be more responsive </w:t>
      </w:r>
      <w:r w:rsidR="00A85029" w:rsidRPr="008966B3">
        <w:rPr>
          <w:sz w:val="22"/>
          <w:szCs w:val="22"/>
        </w:rPr>
        <w:t xml:space="preserve">in a product-harm crisis. </w:t>
      </w:r>
      <w:r w:rsidR="00B91997" w:rsidRPr="008966B3">
        <w:rPr>
          <w:sz w:val="22"/>
          <w:szCs w:val="22"/>
        </w:rPr>
        <w:t xml:space="preserve">Accordingly, we hypothesize: </w:t>
      </w:r>
    </w:p>
    <w:p w14:paraId="38496356" w14:textId="6CD8BE0C" w:rsidR="00501190" w:rsidRPr="008966B3" w:rsidRDefault="008E5BA6" w:rsidP="006324E2">
      <w:pPr>
        <w:spacing w:line="480" w:lineRule="auto"/>
        <w:ind w:left="720"/>
        <w:rPr>
          <w:iCs/>
          <w:sz w:val="22"/>
          <w:szCs w:val="22"/>
        </w:rPr>
      </w:pPr>
      <w:r w:rsidRPr="008966B3">
        <w:rPr>
          <w:b/>
          <w:bCs/>
          <w:iCs/>
          <w:sz w:val="22"/>
          <w:szCs w:val="22"/>
        </w:rPr>
        <w:t>Hypothesis</w:t>
      </w:r>
      <w:r w:rsidR="006A3C25" w:rsidRPr="008966B3">
        <w:rPr>
          <w:b/>
          <w:bCs/>
          <w:iCs/>
          <w:sz w:val="22"/>
          <w:szCs w:val="22"/>
        </w:rPr>
        <w:t xml:space="preserve"> </w:t>
      </w:r>
      <w:r w:rsidR="00172DD6" w:rsidRPr="008966B3">
        <w:rPr>
          <w:b/>
          <w:bCs/>
          <w:iCs/>
          <w:sz w:val="22"/>
          <w:szCs w:val="22"/>
        </w:rPr>
        <w:t>1</w:t>
      </w:r>
      <w:r w:rsidR="00B91997" w:rsidRPr="008966B3">
        <w:rPr>
          <w:b/>
          <w:bCs/>
          <w:iCs/>
          <w:sz w:val="22"/>
          <w:szCs w:val="22"/>
        </w:rPr>
        <w:t>:</w:t>
      </w:r>
      <w:r w:rsidR="00B91997" w:rsidRPr="008966B3">
        <w:rPr>
          <w:b/>
          <w:iCs/>
          <w:sz w:val="22"/>
          <w:szCs w:val="22"/>
        </w:rPr>
        <w:tab/>
      </w:r>
      <w:r w:rsidR="009E42E1">
        <w:rPr>
          <w:iCs/>
          <w:sz w:val="22"/>
          <w:szCs w:val="22"/>
        </w:rPr>
        <w:t xml:space="preserve">The inclusion of consumer liability in product recall regulation increases firms’ speed to recall. </w:t>
      </w:r>
    </w:p>
    <w:p w14:paraId="6E4C02B5" w14:textId="2F8E1A18" w:rsidR="005E63A7" w:rsidRPr="00FE04ED" w:rsidRDefault="00774EF5" w:rsidP="006324E2">
      <w:pPr>
        <w:spacing w:line="480" w:lineRule="auto"/>
        <w:rPr>
          <w:b/>
          <w:bCs/>
          <w:iCs/>
          <w:sz w:val="22"/>
          <w:szCs w:val="22"/>
        </w:rPr>
      </w:pPr>
      <w:r w:rsidRPr="008966B3">
        <w:rPr>
          <w:b/>
          <w:bCs/>
          <w:iCs/>
          <w:sz w:val="22"/>
          <w:szCs w:val="22"/>
        </w:rPr>
        <w:t>Product</w:t>
      </w:r>
      <w:r w:rsidR="00D50A61" w:rsidRPr="008966B3">
        <w:rPr>
          <w:b/>
          <w:bCs/>
          <w:iCs/>
          <w:sz w:val="22"/>
          <w:szCs w:val="22"/>
        </w:rPr>
        <w:t xml:space="preserve"> </w:t>
      </w:r>
      <w:r w:rsidR="006324E2">
        <w:rPr>
          <w:b/>
          <w:bCs/>
          <w:iCs/>
          <w:sz w:val="22"/>
          <w:szCs w:val="22"/>
        </w:rPr>
        <w:t>s</w:t>
      </w:r>
      <w:r w:rsidR="00D50A61" w:rsidRPr="00FE04ED">
        <w:rPr>
          <w:b/>
          <w:bCs/>
          <w:iCs/>
          <w:sz w:val="22"/>
          <w:szCs w:val="22"/>
        </w:rPr>
        <w:t xml:space="preserve">tandardization </w:t>
      </w:r>
      <w:r w:rsidR="006324E2">
        <w:rPr>
          <w:b/>
          <w:bCs/>
          <w:iCs/>
          <w:sz w:val="22"/>
          <w:szCs w:val="22"/>
        </w:rPr>
        <w:t>a</w:t>
      </w:r>
      <w:r w:rsidR="00BD147F" w:rsidRPr="00FE04ED">
        <w:rPr>
          <w:b/>
          <w:bCs/>
          <w:iCs/>
          <w:sz w:val="22"/>
          <w:szCs w:val="22"/>
        </w:rPr>
        <w:t xml:space="preserve">cross </w:t>
      </w:r>
      <w:r w:rsidR="006324E2">
        <w:rPr>
          <w:b/>
          <w:bCs/>
          <w:iCs/>
          <w:sz w:val="22"/>
          <w:szCs w:val="22"/>
        </w:rPr>
        <w:t>d</w:t>
      </w:r>
      <w:r w:rsidR="00BD147F" w:rsidRPr="00FE04ED">
        <w:rPr>
          <w:b/>
          <w:bCs/>
          <w:iCs/>
          <w:sz w:val="22"/>
          <w:szCs w:val="22"/>
        </w:rPr>
        <w:t xml:space="preserve">ifferent </w:t>
      </w:r>
      <w:r w:rsidR="006324E2">
        <w:rPr>
          <w:b/>
          <w:bCs/>
          <w:iCs/>
          <w:sz w:val="22"/>
          <w:szCs w:val="22"/>
        </w:rPr>
        <w:t>r</w:t>
      </w:r>
      <w:r w:rsidR="00BD147F" w:rsidRPr="00FE04ED">
        <w:rPr>
          <w:b/>
          <w:bCs/>
          <w:iCs/>
          <w:sz w:val="22"/>
          <w:szCs w:val="22"/>
        </w:rPr>
        <w:t xml:space="preserve">egulatory </w:t>
      </w:r>
      <w:r w:rsidR="006324E2">
        <w:rPr>
          <w:b/>
          <w:bCs/>
          <w:iCs/>
          <w:sz w:val="22"/>
          <w:szCs w:val="22"/>
        </w:rPr>
        <w:t>e</w:t>
      </w:r>
      <w:r w:rsidR="00BD147F" w:rsidRPr="00FE04ED">
        <w:rPr>
          <w:b/>
          <w:bCs/>
          <w:iCs/>
          <w:sz w:val="22"/>
          <w:szCs w:val="22"/>
        </w:rPr>
        <w:t>nvironments</w:t>
      </w:r>
    </w:p>
    <w:p w14:paraId="3FE036D9" w14:textId="315AC98A" w:rsidR="00A85029" w:rsidRPr="00FE04ED" w:rsidRDefault="008C240F" w:rsidP="006324E2">
      <w:pPr>
        <w:spacing w:line="480" w:lineRule="auto"/>
        <w:ind w:firstLine="720"/>
        <w:rPr>
          <w:sz w:val="22"/>
          <w:szCs w:val="22"/>
        </w:rPr>
      </w:pPr>
      <w:r w:rsidRPr="00FE04ED">
        <w:rPr>
          <w:sz w:val="22"/>
          <w:szCs w:val="22"/>
        </w:rPr>
        <w:t xml:space="preserve">Firm responsiveness is a function of how quickly and accurately a firm can distinguish between those product features that cause harm to consumers and thus merit a product recall versus those that do not. </w:t>
      </w:r>
      <w:r w:rsidR="00A85029" w:rsidRPr="00FE04ED">
        <w:rPr>
          <w:sz w:val="22"/>
          <w:szCs w:val="22"/>
        </w:rPr>
        <w:t>Firms regularly receive reports of incidents and injuries associated with products; however, these issues are often caused by consumer misuse, and thus it is easy to dismiss them as being idiosyncratic to a consumer or a context (Bapuji, 2011). Within the process of absorbing incoming information regarding product flaws, one of the greatest obstacles encountered by firms arises from trying to ascertain the scope and significance of the product flaw (Hora et al., 2011).</w:t>
      </w:r>
    </w:p>
    <w:p w14:paraId="72ADB59F" w14:textId="66D00CA6" w:rsidR="00A85029" w:rsidRPr="00FE04ED" w:rsidRDefault="00A85029" w:rsidP="006324E2">
      <w:pPr>
        <w:spacing w:line="480" w:lineRule="auto"/>
        <w:rPr>
          <w:sz w:val="22"/>
          <w:szCs w:val="22"/>
        </w:rPr>
      </w:pPr>
      <w:r w:rsidRPr="00FE04ED">
        <w:rPr>
          <w:sz w:val="22"/>
          <w:szCs w:val="22"/>
        </w:rPr>
        <w:tab/>
        <w:t xml:space="preserve">Product standardization provides an opportunity to gain a broad range of information that provides nuanced insights about the product. Toyota’s success with the Prius in the </w:t>
      </w:r>
      <w:r w:rsidR="000A1B0A" w:rsidRPr="00FE04ED">
        <w:rPr>
          <w:sz w:val="22"/>
          <w:szCs w:val="22"/>
        </w:rPr>
        <w:t>U.S</w:t>
      </w:r>
      <w:r w:rsidRPr="00FE04ED">
        <w:rPr>
          <w:sz w:val="22"/>
          <w:szCs w:val="22"/>
        </w:rPr>
        <w:t xml:space="preserve"> and in Europe aptly illustrates this point. In the </w:t>
      </w:r>
      <w:r w:rsidR="000A1B0A" w:rsidRPr="00FE04ED">
        <w:rPr>
          <w:sz w:val="22"/>
          <w:szCs w:val="22"/>
        </w:rPr>
        <w:t>U.S</w:t>
      </w:r>
      <w:r w:rsidRPr="00FE04ED">
        <w:rPr>
          <w:sz w:val="22"/>
          <w:szCs w:val="22"/>
        </w:rPr>
        <w:t xml:space="preserve">, a focus by domestic automakers to increase fuel efficiency prompted Toyota to introduce Toyota Prius into the U.S market (German, 2004). When the Prius was first introduced, its battery lasted only a few years, which made the car more expensive than its non-hybrid </w:t>
      </w:r>
      <w:r w:rsidRPr="00FE04ED">
        <w:rPr>
          <w:sz w:val="22"/>
          <w:szCs w:val="22"/>
        </w:rPr>
        <w:lastRenderedPageBreak/>
        <w:t xml:space="preserve">alternatives, though still better than its hybrid competitors. Over time, Toyota improved on the mechanics of the Prius and used this knowledge to design the Toyota Auris for the European market. In a market where diesel was the dominant fuel-saving option, Auris became the best-selling hybrid vehicle in Europe in 2014 (Gibbs, 2014). </w:t>
      </w:r>
      <w:r w:rsidR="00475894" w:rsidRPr="00FE04ED">
        <w:rPr>
          <w:sz w:val="22"/>
          <w:szCs w:val="22"/>
        </w:rPr>
        <w:tab/>
      </w:r>
    </w:p>
    <w:p w14:paraId="349E14BF" w14:textId="77777777" w:rsidR="00A85029" w:rsidRPr="00FE04ED" w:rsidRDefault="00A85029" w:rsidP="006324E2">
      <w:pPr>
        <w:spacing w:line="480" w:lineRule="auto"/>
        <w:ind w:firstLine="567"/>
        <w:rPr>
          <w:sz w:val="22"/>
          <w:szCs w:val="22"/>
        </w:rPr>
      </w:pPr>
      <w:r w:rsidRPr="00FE04ED">
        <w:rPr>
          <w:sz w:val="22"/>
          <w:szCs w:val="22"/>
        </w:rPr>
        <w:t xml:space="preserve">Releasing the same standardized product in multiple markets allows firms to gather product-quality feedback from a diverse range of sources. If a product-failure report is received in one market, then, by virtue of the product being standardized across markets, the same product flaw is also likely to exist in multiple markets. Firms benefit from extracting unique information from multiple markets and transferring it throughout the organization to make the firm more responsive in multiple markets (Lee, Chen, &amp; Lu, 2009). Therefore, by introducing a standardized product in multiple markets, the firm improves its chances of receiving feedback from a larger and more diverse consumer base than a single market could provide (Lord &amp; Ranft, 2000). Having access to a high range of diverse information facilitates problem clarification and enables exploration of solutions (Beckman &amp; Haunschild, 2002). </w:t>
      </w:r>
    </w:p>
    <w:p w14:paraId="5E6F828D" w14:textId="3C252953" w:rsidR="004930FC" w:rsidRPr="00FE04ED" w:rsidRDefault="00A85029" w:rsidP="006324E2">
      <w:pPr>
        <w:spacing w:line="480" w:lineRule="auto"/>
        <w:ind w:firstLine="567"/>
        <w:rPr>
          <w:sz w:val="22"/>
          <w:szCs w:val="22"/>
        </w:rPr>
      </w:pPr>
      <w:r w:rsidRPr="00FE04ED">
        <w:rPr>
          <w:sz w:val="22"/>
          <w:szCs w:val="22"/>
        </w:rPr>
        <w:t xml:space="preserve">In sum, product standardization across markets helps a firm to acquire larger and more diverse information of the kind that is necessary to fully understand the problem. It also </w:t>
      </w:r>
      <w:r w:rsidR="008C240F" w:rsidRPr="00FE04ED">
        <w:rPr>
          <w:sz w:val="22"/>
          <w:szCs w:val="22"/>
        </w:rPr>
        <w:t xml:space="preserve">helps focus </w:t>
      </w:r>
      <w:r w:rsidRPr="00FE04ED">
        <w:rPr>
          <w:sz w:val="22"/>
          <w:szCs w:val="22"/>
        </w:rPr>
        <w:t xml:space="preserve">a firm’s attention to the root cause of the problem, facilitating deployment of the resources needed to address the same. Therefore, we hypothesize: </w:t>
      </w:r>
    </w:p>
    <w:p w14:paraId="553CFE46" w14:textId="51FFB783" w:rsidR="004930FC" w:rsidRPr="00FE04ED" w:rsidRDefault="00A85029" w:rsidP="00193318">
      <w:pPr>
        <w:spacing w:line="480" w:lineRule="auto"/>
        <w:ind w:left="720"/>
        <w:rPr>
          <w:b/>
          <w:sz w:val="22"/>
          <w:szCs w:val="22"/>
        </w:rPr>
      </w:pPr>
      <w:r w:rsidRPr="00FE04ED">
        <w:rPr>
          <w:b/>
          <w:bCs/>
          <w:iCs/>
          <w:sz w:val="22"/>
          <w:szCs w:val="22"/>
        </w:rPr>
        <w:t>Hypothesis 2</w:t>
      </w:r>
      <w:r w:rsidR="009E42E1">
        <w:rPr>
          <w:b/>
          <w:bCs/>
          <w:iCs/>
          <w:sz w:val="22"/>
          <w:szCs w:val="22"/>
        </w:rPr>
        <w:t>:</w:t>
      </w:r>
      <w:r w:rsidRPr="00FE04ED">
        <w:rPr>
          <w:b/>
          <w:bCs/>
          <w:iCs/>
          <w:sz w:val="22"/>
          <w:szCs w:val="22"/>
        </w:rPr>
        <w:t xml:space="preserve"> </w:t>
      </w:r>
      <w:r w:rsidRPr="00FE04ED">
        <w:rPr>
          <w:iCs/>
          <w:sz w:val="22"/>
          <w:szCs w:val="22"/>
        </w:rPr>
        <w:tab/>
      </w:r>
      <w:r w:rsidR="009E42E1">
        <w:rPr>
          <w:iCs/>
          <w:sz w:val="22"/>
          <w:szCs w:val="22"/>
        </w:rPr>
        <w:t>A firm’s speed to recall increases when it sells a standardized product across multiple markets</w:t>
      </w:r>
    </w:p>
    <w:p w14:paraId="11730E56" w14:textId="3CBCEDE7" w:rsidR="00E00A2C" w:rsidRPr="00193318" w:rsidRDefault="00615FEE" w:rsidP="00F276E7">
      <w:pPr>
        <w:spacing w:line="276" w:lineRule="auto"/>
        <w:rPr>
          <w:sz w:val="28"/>
          <w:szCs w:val="28"/>
        </w:rPr>
      </w:pPr>
      <w:r w:rsidRPr="00193318">
        <w:rPr>
          <w:b/>
          <w:sz w:val="28"/>
          <w:szCs w:val="28"/>
        </w:rPr>
        <w:t>METHODS</w:t>
      </w:r>
    </w:p>
    <w:p w14:paraId="24AF7BF7" w14:textId="705885D7" w:rsidR="00F911E2" w:rsidRPr="00193318" w:rsidRDefault="00F911E2" w:rsidP="00193318">
      <w:pPr>
        <w:spacing w:before="240" w:line="480" w:lineRule="auto"/>
        <w:rPr>
          <w:b/>
          <w:iCs/>
          <w:sz w:val="22"/>
          <w:szCs w:val="22"/>
        </w:rPr>
      </w:pPr>
      <w:r w:rsidRPr="00193318">
        <w:rPr>
          <w:b/>
          <w:iCs/>
          <w:sz w:val="22"/>
          <w:szCs w:val="22"/>
        </w:rPr>
        <w:t xml:space="preserve">Research </w:t>
      </w:r>
      <w:r w:rsidR="006324E2">
        <w:rPr>
          <w:b/>
          <w:iCs/>
          <w:sz w:val="22"/>
          <w:szCs w:val="22"/>
        </w:rPr>
        <w:t>c</w:t>
      </w:r>
      <w:r w:rsidRPr="00193318">
        <w:rPr>
          <w:b/>
          <w:iCs/>
          <w:sz w:val="22"/>
          <w:szCs w:val="22"/>
        </w:rPr>
        <w:t xml:space="preserve">ontext: Automobile </w:t>
      </w:r>
      <w:r w:rsidR="006324E2">
        <w:rPr>
          <w:b/>
          <w:iCs/>
          <w:sz w:val="22"/>
          <w:szCs w:val="22"/>
        </w:rPr>
        <w:t>s</w:t>
      </w:r>
      <w:r w:rsidRPr="00193318">
        <w:rPr>
          <w:b/>
          <w:iCs/>
          <w:sz w:val="22"/>
          <w:szCs w:val="22"/>
        </w:rPr>
        <w:t>ector</w:t>
      </w:r>
      <w:r w:rsidR="00512E56" w:rsidRPr="00193318">
        <w:rPr>
          <w:b/>
          <w:iCs/>
          <w:sz w:val="22"/>
          <w:szCs w:val="22"/>
        </w:rPr>
        <w:t>s</w:t>
      </w:r>
      <w:r w:rsidRPr="00193318">
        <w:rPr>
          <w:b/>
          <w:iCs/>
          <w:sz w:val="22"/>
          <w:szCs w:val="22"/>
        </w:rPr>
        <w:t xml:space="preserve"> in the </w:t>
      </w:r>
      <w:r w:rsidR="000A1B0A" w:rsidRPr="00193318">
        <w:rPr>
          <w:b/>
          <w:iCs/>
          <w:sz w:val="22"/>
          <w:szCs w:val="22"/>
        </w:rPr>
        <w:t>U.S</w:t>
      </w:r>
      <w:r w:rsidR="00512E56" w:rsidRPr="00193318">
        <w:rPr>
          <w:b/>
          <w:iCs/>
          <w:sz w:val="22"/>
          <w:szCs w:val="22"/>
        </w:rPr>
        <w:t xml:space="preserve">, </w:t>
      </w:r>
      <w:r w:rsidR="000A1B0A" w:rsidRPr="00193318">
        <w:rPr>
          <w:b/>
          <w:iCs/>
          <w:sz w:val="22"/>
          <w:szCs w:val="22"/>
        </w:rPr>
        <w:t>U.K</w:t>
      </w:r>
      <w:r w:rsidR="003F5CA3" w:rsidRPr="00193318">
        <w:rPr>
          <w:b/>
          <w:iCs/>
          <w:sz w:val="22"/>
          <w:szCs w:val="22"/>
        </w:rPr>
        <w:t>, Germany, and Australia</w:t>
      </w:r>
    </w:p>
    <w:p w14:paraId="0337A499" w14:textId="4FF8641E" w:rsidR="00CD3159" w:rsidRPr="00193318" w:rsidRDefault="00367850" w:rsidP="00193318">
      <w:pPr>
        <w:spacing w:line="480" w:lineRule="auto"/>
        <w:ind w:firstLine="720"/>
        <w:rPr>
          <w:b/>
          <w:sz w:val="22"/>
          <w:szCs w:val="22"/>
        </w:rPr>
      </w:pPr>
      <w:r w:rsidRPr="00193318">
        <w:rPr>
          <w:sz w:val="22"/>
          <w:szCs w:val="22"/>
        </w:rPr>
        <w:t xml:space="preserve">The automobile industry </w:t>
      </w:r>
      <w:r w:rsidR="00612F15" w:rsidRPr="00193318">
        <w:rPr>
          <w:sz w:val="22"/>
          <w:szCs w:val="22"/>
        </w:rPr>
        <w:t xml:space="preserve">offers </w:t>
      </w:r>
      <w:r w:rsidRPr="00193318">
        <w:rPr>
          <w:sz w:val="22"/>
          <w:szCs w:val="22"/>
        </w:rPr>
        <w:t xml:space="preserve">an ideal context </w:t>
      </w:r>
      <w:r w:rsidR="008A7A88" w:rsidRPr="00193318">
        <w:rPr>
          <w:sz w:val="22"/>
          <w:szCs w:val="22"/>
        </w:rPr>
        <w:t xml:space="preserve">for our study </w:t>
      </w:r>
      <w:r w:rsidRPr="00193318">
        <w:rPr>
          <w:sz w:val="22"/>
          <w:szCs w:val="22"/>
        </w:rPr>
        <w:t xml:space="preserve">due to the global nature of </w:t>
      </w:r>
      <w:r w:rsidR="00612F15" w:rsidRPr="00193318">
        <w:rPr>
          <w:sz w:val="22"/>
          <w:szCs w:val="22"/>
        </w:rPr>
        <w:t xml:space="preserve">its </w:t>
      </w:r>
      <w:r w:rsidRPr="00193318">
        <w:rPr>
          <w:sz w:val="22"/>
          <w:szCs w:val="22"/>
        </w:rPr>
        <w:t>production and efforts to pursue integration at the expense of local responsiveness (</w:t>
      </w:r>
      <w:r w:rsidR="009C518E" w:rsidRPr="00193318">
        <w:rPr>
          <w:sz w:val="22"/>
          <w:szCs w:val="22"/>
        </w:rPr>
        <w:t>Grein</w:t>
      </w:r>
      <w:r w:rsidR="00DB488F" w:rsidRPr="00193318">
        <w:rPr>
          <w:sz w:val="22"/>
          <w:szCs w:val="22"/>
        </w:rPr>
        <w:t xml:space="preserve">, Craig, </w:t>
      </w:r>
      <w:r w:rsidR="007E503D" w:rsidRPr="00193318">
        <w:rPr>
          <w:sz w:val="22"/>
          <w:szCs w:val="22"/>
        </w:rPr>
        <w:t>&amp;</w:t>
      </w:r>
      <w:r w:rsidR="00DB488F" w:rsidRPr="00193318">
        <w:rPr>
          <w:sz w:val="22"/>
          <w:szCs w:val="22"/>
        </w:rPr>
        <w:t xml:space="preserve"> Tanaka</w:t>
      </w:r>
      <w:r w:rsidR="007E503D" w:rsidRPr="00193318">
        <w:rPr>
          <w:sz w:val="22"/>
          <w:szCs w:val="22"/>
        </w:rPr>
        <w:t>,</w:t>
      </w:r>
      <w:r w:rsidR="009C518E" w:rsidRPr="00193318">
        <w:rPr>
          <w:sz w:val="22"/>
          <w:szCs w:val="22"/>
        </w:rPr>
        <w:t xml:space="preserve"> 2001; </w:t>
      </w:r>
      <w:proofErr w:type="spellStart"/>
      <w:r w:rsidRPr="00193318">
        <w:rPr>
          <w:sz w:val="22"/>
          <w:szCs w:val="22"/>
        </w:rPr>
        <w:t>Kotabe</w:t>
      </w:r>
      <w:proofErr w:type="spellEnd"/>
      <w:r w:rsidRPr="00193318">
        <w:rPr>
          <w:sz w:val="22"/>
          <w:szCs w:val="22"/>
        </w:rPr>
        <w:t xml:space="preserve">, Parente, </w:t>
      </w:r>
      <w:r w:rsidR="007E503D" w:rsidRPr="00193318">
        <w:rPr>
          <w:sz w:val="22"/>
          <w:szCs w:val="22"/>
        </w:rPr>
        <w:t>&amp;</w:t>
      </w:r>
      <w:r w:rsidRPr="00193318">
        <w:rPr>
          <w:sz w:val="22"/>
          <w:szCs w:val="22"/>
        </w:rPr>
        <w:t xml:space="preserve"> Murray</w:t>
      </w:r>
      <w:r w:rsidR="007E503D" w:rsidRPr="00193318">
        <w:rPr>
          <w:sz w:val="22"/>
          <w:szCs w:val="22"/>
        </w:rPr>
        <w:t>,</w:t>
      </w:r>
      <w:r w:rsidRPr="00193318">
        <w:rPr>
          <w:sz w:val="22"/>
          <w:szCs w:val="22"/>
        </w:rPr>
        <w:t xml:space="preserve"> 2007).</w:t>
      </w:r>
      <w:r w:rsidR="00826484" w:rsidRPr="00193318">
        <w:rPr>
          <w:sz w:val="22"/>
          <w:szCs w:val="22"/>
        </w:rPr>
        <w:t xml:space="preserve"> Automobile firms are part of an ecosystem of interconnected firms that are led by keystone players who form a common strategic vision for all players </w:t>
      </w:r>
      <w:r w:rsidR="00826484" w:rsidRPr="00193318">
        <w:rPr>
          <w:sz w:val="22"/>
          <w:szCs w:val="22"/>
        </w:rPr>
        <w:lastRenderedPageBreak/>
        <w:t>(Kim &amp; Mudambi, 2020). An interconnected network ensures that once a keystone player acts then other firms are likely to see the actions and act accordingly.</w:t>
      </w:r>
      <w:r w:rsidR="005633D7" w:rsidRPr="00193318">
        <w:rPr>
          <w:sz w:val="22"/>
          <w:szCs w:val="22"/>
        </w:rPr>
        <w:t xml:space="preserve"> </w:t>
      </w:r>
      <w:r w:rsidR="00E979B1" w:rsidRPr="00193318">
        <w:rPr>
          <w:sz w:val="22"/>
          <w:szCs w:val="22"/>
        </w:rPr>
        <w:t xml:space="preserve">Our focus is on such keystone players, and we examine </w:t>
      </w:r>
      <w:r w:rsidR="00B0508B" w:rsidRPr="00193318">
        <w:rPr>
          <w:sz w:val="22"/>
          <w:szCs w:val="22"/>
        </w:rPr>
        <w:t xml:space="preserve">recalls where no external supplier </w:t>
      </w:r>
      <w:r w:rsidR="008A7A88" w:rsidRPr="00193318">
        <w:rPr>
          <w:sz w:val="22"/>
          <w:szCs w:val="22"/>
        </w:rPr>
        <w:t xml:space="preserve">besides </w:t>
      </w:r>
      <w:r w:rsidR="00B0508B" w:rsidRPr="00193318">
        <w:rPr>
          <w:sz w:val="22"/>
          <w:szCs w:val="22"/>
        </w:rPr>
        <w:t>the original manufacturer is listed as the responsible party.</w:t>
      </w:r>
      <w:r w:rsidR="004F16B9" w:rsidRPr="00193318">
        <w:rPr>
          <w:rStyle w:val="FootnoteReference"/>
          <w:sz w:val="22"/>
          <w:szCs w:val="22"/>
        </w:rPr>
        <w:footnoteReference w:id="1"/>
      </w:r>
      <w:r w:rsidR="00B0508B" w:rsidRPr="00193318">
        <w:rPr>
          <w:sz w:val="22"/>
          <w:szCs w:val="22"/>
        </w:rPr>
        <w:t xml:space="preserve"> </w:t>
      </w:r>
    </w:p>
    <w:p w14:paraId="5D23B6F7" w14:textId="57411758" w:rsidR="00007C96" w:rsidRPr="00193318" w:rsidRDefault="002E0216" w:rsidP="006324E2">
      <w:pPr>
        <w:rPr>
          <w:b/>
          <w:iCs/>
          <w:sz w:val="22"/>
          <w:szCs w:val="22"/>
        </w:rPr>
      </w:pPr>
      <w:r w:rsidRPr="00193318">
        <w:rPr>
          <w:b/>
          <w:iCs/>
          <w:sz w:val="22"/>
          <w:szCs w:val="22"/>
        </w:rPr>
        <w:t>Sample</w:t>
      </w:r>
    </w:p>
    <w:p w14:paraId="565F6731" w14:textId="753182FD" w:rsidR="00E979B1" w:rsidRPr="00193318" w:rsidRDefault="00103F56" w:rsidP="006324E2">
      <w:pPr>
        <w:spacing w:line="480" w:lineRule="auto"/>
        <w:ind w:firstLine="720"/>
        <w:rPr>
          <w:sz w:val="22"/>
          <w:szCs w:val="22"/>
        </w:rPr>
      </w:pPr>
      <w:r w:rsidRPr="00193318">
        <w:rPr>
          <w:sz w:val="22"/>
          <w:szCs w:val="22"/>
        </w:rPr>
        <w:t xml:space="preserve">We collected data on </w:t>
      </w:r>
      <w:r w:rsidR="0083429D" w:rsidRPr="00193318">
        <w:rPr>
          <w:sz w:val="22"/>
          <w:szCs w:val="22"/>
        </w:rPr>
        <w:t xml:space="preserve">all </w:t>
      </w:r>
      <w:r w:rsidRPr="00193318">
        <w:rPr>
          <w:sz w:val="22"/>
          <w:szCs w:val="22"/>
        </w:rPr>
        <w:t xml:space="preserve">passenger vehicle models </w:t>
      </w:r>
      <w:r w:rsidR="0083429D" w:rsidRPr="00193318">
        <w:rPr>
          <w:sz w:val="22"/>
          <w:szCs w:val="22"/>
        </w:rPr>
        <w:t xml:space="preserve">introduced into </w:t>
      </w:r>
      <w:r w:rsidR="00004F98" w:rsidRPr="00193318">
        <w:rPr>
          <w:sz w:val="22"/>
          <w:szCs w:val="22"/>
        </w:rPr>
        <w:t>the</w:t>
      </w:r>
      <w:r w:rsidR="0083429D" w:rsidRPr="00193318">
        <w:rPr>
          <w:sz w:val="22"/>
          <w:szCs w:val="22"/>
        </w:rPr>
        <w:t xml:space="preserve"> </w:t>
      </w:r>
      <w:r w:rsidR="0027742E" w:rsidRPr="00193318">
        <w:rPr>
          <w:sz w:val="22"/>
          <w:szCs w:val="22"/>
        </w:rPr>
        <w:t>U</w:t>
      </w:r>
      <w:r w:rsidR="00FA16CD" w:rsidRPr="00193318">
        <w:rPr>
          <w:sz w:val="22"/>
          <w:szCs w:val="22"/>
        </w:rPr>
        <w:t>S</w:t>
      </w:r>
      <w:r w:rsidR="00004F98" w:rsidRPr="00193318">
        <w:rPr>
          <w:sz w:val="22"/>
          <w:szCs w:val="22"/>
        </w:rPr>
        <w:t xml:space="preserve">, </w:t>
      </w:r>
      <w:r w:rsidR="003F5CA3" w:rsidRPr="00193318">
        <w:rPr>
          <w:sz w:val="22"/>
          <w:szCs w:val="22"/>
        </w:rPr>
        <w:t>U</w:t>
      </w:r>
      <w:r w:rsidR="00FA16CD" w:rsidRPr="00193318">
        <w:rPr>
          <w:sz w:val="22"/>
          <w:szCs w:val="22"/>
        </w:rPr>
        <w:t>K,</w:t>
      </w:r>
      <w:r w:rsidR="003F5CA3" w:rsidRPr="00193318">
        <w:rPr>
          <w:sz w:val="22"/>
          <w:szCs w:val="22"/>
        </w:rPr>
        <w:t xml:space="preserve"> Germany, and Australia </w:t>
      </w:r>
      <w:r w:rsidRPr="00193318">
        <w:rPr>
          <w:sz w:val="22"/>
          <w:szCs w:val="22"/>
        </w:rPr>
        <w:t>from the year</w:t>
      </w:r>
      <w:r w:rsidR="001440A4" w:rsidRPr="00193318">
        <w:rPr>
          <w:sz w:val="22"/>
          <w:szCs w:val="22"/>
        </w:rPr>
        <w:t>s</w:t>
      </w:r>
      <w:r w:rsidRPr="00193318">
        <w:rPr>
          <w:sz w:val="22"/>
          <w:szCs w:val="22"/>
        </w:rPr>
        <w:t xml:space="preserve"> 200</w:t>
      </w:r>
      <w:r w:rsidR="0083429D" w:rsidRPr="00193318">
        <w:rPr>
          <w:sz w:val="22"/>
          <w:szCs w:val="22"/>
        </w:rPr>
        <w:t>3</w:t>
      </w:r>
      <w:r w:rsidRPr="00193318">
        <w:rPr>
          <w:sz w:val="22"/>
          <w:szCs w:val="22"/>
        </w:rPr>
        <w:t xml:space="preserve"> to 201</w:t>
      </w:r>
      <w:r w:rsidR="00352402" w:rsidRPr="00193318">
        <w:rPr>
          <w:sz w:val="22"/>
          <w:szCs w:val="22"/>
        </w:rPr>
        <w:t>9</w:t>
      </w:r>
      <w:r w:rsidRPr="00193318">
        <w:rPr>
          <w:sz w:val="22"/>
          <w:szCs w:val="22"/>
        </w:rPr>
        <w:t xml:space="preserve">. </w:t>
      </w:r>
      <w:r w:rsidR="00C2075B" w:rsidRPr="00193318">
        <w:rPr>
          <w:sz w:val="22"/>
          <w:szCs w:val="22"/>
        </w:rPr>
        <w:t>During this period, over 1</w:t>
      </w:r>
      <w:r w:rsidR="00352402" w:rsidRPr="00193318">
        <w:rPr>
          <w:sz w:val="22"/>
          <w:szCs w:val="22"/>
        </w:rPr>
        <w:t>8</w:t>
      </w:r>
      <w:r w:rsidR="00C2075B" w:rsidRPr="00193318">
        <w:rPr>
          <w:sz w:val="22"/>
          <w:szCs w:val="22"/>
        </w:rPr>
        <w:t xml:space="preserve">0 million cars were sold in the </w:t>
      </w:r>
      <w:r w:rsidR="000A1B0A" w:rsidRPr="00193318">
        <w:rPr>
          <w:sz w:val="22"/>
          <w:szCs w:val="22"/>
        </w:rPr>
        <w:t>U.S</w:t>
      </w:r>
      <w:r w:rsidR="00C2075B" w:rsidRPr="00193318">
        <w:rPr>
          <w:sz w:val="22"/>
          <w:szCs w:val="22"/>
        </w:rPr>
        <w:t xml:space="preserve"> (</w:t>
      </w:r>
      <w:r w:rsidR="00541857" w:rsidRPr="00193318">
        <w:rPr>
          <w:sz w:val="22"/>
          <w:szCs w:val="22"/>
        </w:rPr>
        <w:t>The Automotive News</w:t>
      </w:r>
      <w:r w:rsidR="00E60C23" w:rsidRPr="00193318">
        <w:rPr>
          <w:sz w:val="22"/>
          <w:szCs w:val="22"/>
        </w:rPr>
        <w:t>,</w:t>
      </w:r>
      <w:r w:rsidR="00C9457D" w:rsidRPr="00193318">
        <w:rPr>
          <w:color w:val="FF0000"/>
          <w:sz w:val="22"/>
          <w:szCs w:val="22"/>
        </w:rPr>
        <w:t xml:space="preserve"> </w:t>
      </w:r>
      <w:r w:rsidR="00C9457D" w:rsidRPr="00193318">
        <w:rPr>
          <w:color w:val="000000" w:themeColor="text1"/>
          <w:sz w:val="22"/>
          <w:szCs w:val="22"/>
        </w:rPr>
        <w:t>2003 - 201</w:t>
      </w:r>
      <w:r w:rsidR="00352402" w:rsidRPr="00193318">
        <w:rPr>
          <w:color w:val="000000" w:themeColor="text1"/>
          <w:sz w:val="22"/>
          <w:szCs w:val="22"/>
        </w:rPr>
        <w:t>9</w:t>
      </w:r>
      <w:r w:rsidR="00C2075B" w:rsidRPr="00193318">
        <w:rPr>
          <w:color w:val="000000" w:themeColor="text1"/>
          <w:sz w:val="22"/>
          <w:szCs w:val="22"/>
        </w:rPr>
        <w:t xml:space="preserve">), </w:t>
      </w:r>
      <w:r w:rsidR="00352402" w:rsidRPr="00193318">
        <w:rPr>
          <w:color w:val="000000" w:themeColor="text1"/>
          <w:sz w:val="22"/>
          <w:szCs w:val="22"/>
        </w:rPr>
        <w:t>50</w:t>
      </w:r>
      <w:r w:rsidR="00C2075B" w:rsidRPr="00193318">
        <w:rPr>
          <w:color w:val="000000" w:themeColor="text1"/>
          <w:sz w:val="22"/>
          <w:szCs w:val="22"/>
        </w:rPr>
        <w:t xml:space="preserve"> million were sold in the </w:t>
      </w:r>
      <w:r w:rsidR="000A1B0A" w:rsidRPr="00193318">
        <w:rPr>
          <w:color w:val="000000" w:themeColor="text1"/>
          <w:sz w:val="22"/>
          <w:szCs w:val="22"/>
        </w:rPr>
        <w:t>U.K</w:t>
      </w:r>
      <w:r w:rsidR="00C2075B" w:rsidRPr="00193318">
        <w:rPr>
          <w:color w:val="000000" w:themeColor="text1"/>
          <w:sz w:val="22"/>
          <w:szCs w:val="22"/>
        </w:rPr>
        <w:t xml:space="preserve"> (</w:t>
      </w:r>
      <w:r w:rsidR="00541857" w:rsidRPr="00193318">
        <w:rPr>
          <w:color w:val="000000" w:themeColor="text1"/>
          <w:sz w:val="22"/>
          <w:szCs w:val="22"/>
        </w:rPr>
        <w:t>Ward’s Automotive Database</w:t>
      </w:r>
      <w:r w:rsidR="00E60C23" w:rsidRPr="00193318">
        <w:rPr>
          <w:color w:val="000000" w:themeColor="text1"/>
          <w:sz w:val="22"/>
          <w:szCs w:val="22"/>
        </w:rPr>
        <w:t xml:space="preserve">, </w:t>
      </w:r>
      <w:r w:rsidR="00C9457D" w:rsidRPr="00193318">
        <w:rPr>
          <w:color w:val="000000" w:themeColor="text1"/>
          <w:sz w:val="22"/>
          <w:szCs w:val="22"/>
        </w:rPr>
        <w:t>2003 - 201</w:t>
      </w:r>
      <w:r w:rsidR="00352402" w:rsidRPr="00193318">
        <w:rPr>
          <w:color w:val="000000" w:themeColor="text1"/>
          <w:sz w:val="22"/>
          <w:szCs w:val="22"/>
        </w:rPr>
        <w:t>9</w:t>
      </w:r>
      <w:r w:rsidR="00541857" w:rsidRPr="00193318">
        <w:rPr>
          <w:sz w:val="22"/>
          <w:szCs w:val="22"/>
        </w:rPr>
        <w:t>)</w:t>
      </w:r>
      <w:r w:rsidR="00055C02" w:rsidRPr="00193318">
        <w:rPr>
          <w:sz w:val="22"/>
          <w:szCs w:val="22"/>
        </w:rPr>
        <w:t xml:space="preserve">, over 40 million </w:t>
      </w:r>
      <w:r w:rsidR="008A7A88" w:rsidRPr="00193318">
        <w:rPr>
          <w:sz w:val="22"/>
          <w:szCs w:val="22"/>
        </w:rPr>
        <w:t xml:space="preserve">were </w:t>
      </w:r>
      <w:r w:rsidR="00055C02" w:rsidRPr="00193318">
        <w:rPr>
          <w:sz w:val="22"/>
          <w:szCs w:val="22"/>
        </w:rPr>
        <w:t>sold in Germany (</w:t>
      </w:r>
      <w:proofErr w:type="spellStart"/>
      <w:r w:rsidR="00055C02" w:rsidRPr="00193318">
        <w:rPr>
          <w:sz w:val="22"/>
          <w:szCs w:val="22"/>
        </w:rPr>
        <w:t>Marklines</w:t>
      </w:r>
      <w:proofErr w:type="spellEnd"/>
      <w:r w:rsidR="00055C02" w:rsidRPr="00193318">
        <w:rPr>
          <w:sz w:val="22"/>
          <w:szCs w:val="22"/>
        </w:rPr>
        <w:t>, 2019)</w:t>
      </w:r>
      <w:r w:rsidR="008C4E9D" w:rsidRPr="00193318">
        <w:rPr>
          <w:sz w:val="22"/>
          <w:szCs w:val="22"/>
        </w:rPr>
        <w:t xml:space="preserve">, and approximately 10 million </w:t>
      </w:r>
      <w:r w:rsidR="008A7A88" w:rsidRPr="00193318">
        <w:rPr>
          <w:sz w:val="22"/>
          <w:szCs w:val="22"/>
        </w:rPr>
        <w:t xml:space="preserve">were </w:t>
      </w:r>
      <w:r w:rsidR="008C4E9D" w:rsidRPr="00193318">
        <w:rPr>
          <w:sz w:val="22"/>
          <w:szCs w:val="22"/>
        </w:rPr>
        <w:t>sold in Australia (Australian Bureau of Statistics, 2020)</w:t>
      </w:r>
      <w:r w:rsidR="00541857" w:rsidRPr="00193318">
        <w:rPr>
          <w:sz w:val="22"/>
          <w:szCs w:val="22"/>
        </w:rPr>
        <w:t>.</w:t>
      </w:r>
      <w:r w:rsidR="00C2075B" w:rsidRPr="00193318">
        <w:rPr>
          <w:sz w:val="22"/>
          <w:szCs w:val="22"/>
        </w:rPr>
        <w:t xml:space="preserve"> </w:t>
      </w:r>
      <w:r w:rsidRPr="00193318">
        <w:rPr>
          <w:sz w:val="22"/>
          <w:szCs w:val="22"/>
        </w:rPr>
        <w:t xml:space="preserve">We included only </w:t>
      </w:r>
      <w:r w:rsidR="00974404" w:rsidRPr="00193318">
        <w:rPr>
          <w:sz w:val="22"/>
          <w:szCs w:val="22"/>
        </w:rPr>
        <w:t xml:space="preserve">those </w:t>
      </w:r>
      <w:r w:rsidRPr="00193318">
        <w:rPr>
          <w:sz w:val="22"/>
          <w:szCs w:val="22"/>
        </w:rPr>
        <w:t xml:space="preserve">vehicles released after 2002 </w:t>
      </w:r>
      <w:r w:rsidR="00C87CB6" w:rsidRPr="00193318">
        <w:rPr>
          <w:sz w:val="22"/>
          <w:szCs w:val="22"/>
        </w:rPr>
        <w:t>to</w:t>
      </w:r>
      <w:r w:rsidRPr="00193318">
        <w:rPr>
          <w:sz w:val="22"/>
          <w:szCs w:val="22"/>
        </w:rPr>
        <w:t xml:space="preserve"> coincide with the enactment of the legislation in the </w:t>
      </w:r>
      <w:r w:rsidR="000A1B0A" w:rsidRPr="00193318">
        <w:rPr>
          <w:sz w:val="22"/>
          <w:szCs w:val="22"/>
        </w:rPr>
        <w:t>U.K</w:t>
      </w:r>
      <w:r w:rsidRPr="00193318">
        <w:rPr>
          <w:sz w:val="22"/>
          <w:szCs w:val="22"/>
        </w:rPr>
        <w:t xml:space="preserve"> that gave enforcement officers the power to stop vehicles that are under a recall.</w:t>
      </w:r>
      <w:r w:rsidR="00C87CB6" w:rsidRPr="00193318">
        <w:rPr>
          <w:sz w:val="22"/>
          <w:szCs w:val="22"/>
        </w:rPr>
        <w:t xml:space="preserve"> In Germany,</w:t>
      </w:r>
      <w:r w:rsidR="002C3581" w:rsidRPr="00193318">
        <w:rPr>
          <w:sz w:val="22"/>
          <w:szCs w:val="22"/>
        </w:rPr>
        <w:t xml:space="preserve"> </w:t>
      </w:r>
      <w:r w:rsidR="00E979B1" w:rsidRPr="00193318">
        <w:rPr>
          <w:sz w:val="22"/>
          <w:szCs w:val="22"/>
        </w:rPr>
        <w:t xml:space="preserve">a </w:t>
      </w:r>
      <w:r w:rsidR="002C3581" w:rsidRPr="00193318">
        <w:rPr>
          <w:sz w:val="22"/>
          <w:szCs w:val="22"/>
        </w:rPr>
        <w:t>legislation introduced in 1990 gave regulatory authorities the power to refuse vehicle registrations to vehicles that did not fix a severe</w:t>
      </w:r>
      <w:r w:rsidR="00E03756">
        <w:rPr>
          <w:rStyle w:val="FootnoteReference"/>
          <w:sz w:val="22"/>
          <w:szCs w:val="22"/>
        </w:rPr>
        <w:footnoteReference w:id="2"/>
      </w:r>
      <w:r w:rsidR="002C3581" w:rsidRPr="00193318">
        <w:rPr>
          <w:sz w:val="22"/>
          <w:szCs w:val="22"/>
        </w:rPr>
        <w:t xml:space="preserve"> vehicle recall.</w:t>
      </w:r>
      <w:r w:rsidR="009934ED" w:rsidRPr="00193318">
        <w:rPr>
          <w:sz w:val="22"/>
          <w:szCs w:val="22"/>
        </w:rPr>
        <w:t xml:space="preserve"> The year 2002 represented a point where the regulatory focus was on consumers in both the U.K and Germany.</w:t>
      </w:r>
      <w:r w:rsidRPr="00193318">
        <w:rPr>
          <w:sz w:val="22"/>
          <w:szCs w:val="22"/>
        </w:rPr>
        <w:t xml:space="preserve"> </w:t>
      </w:r>
    </w:p>
    <w:p w14:paraId="3E2F0BE7" w14:textId="4404AA83" w:rsidR="00A018A9" w:rsidRPr="00193318" w:rsidRDefault="00A018A9" w:rsidP="00F276E7">
      <w:pPr>
        <w:spacing w:line="480" w:lineRule="auto"/>
        <w:ind w:firstLine="720"/>
        <w:rPr>
          <w:sz w:val="22"/>
          <w:szCs w:val="22"/>
        </w:rPr>
      </w:pPr>
      <w:r w:rsidRPr="00193318">
        <w:rPr>
          <w:sz w:val="22"/>
          <w:szCs w:val="22"/>
        </w:rPr>
        <w:t>Information on the recalls was obtained from</w:t>
      </w:r>
      <w:r w:rsidR="00347E1E" w:rsidRPr="00193318">
        <w:rPr>
          <w:sz w:val="22"/>
          <w:szCs w:val="22"/>
        </w:rPr>
        <w:t xml:space="preserve"> the</w:t>
      </w:r>
      <w:r w:rsidRPr="00193318">
        <w:rPr>
          <w:sz w:val="22"/>
          <w:szCs w:val="22"/>
        </w:rPr>
        <w:t xml:space="preserve"> NHTSA</w:t>
      </w:r>
      <w:r w:rsidR="00174D2C" w:rsidRPr="00193318">
        <w:rPr>
          <w:sz w:val="22"/>
          <w:szCs w:val="22"/>
        </w:rPr>
        <w:t xml:space="preserve"> (U.S), </w:t>
      </w:r>
      <w:r w:rsidR="00FF7645" w:rsidRPr="00193318">
        <w:rPr>
          <w:sz w:val="22"/>
          <w:szCs w:val="22"/>
        </w:rPr>
        <w:t>DVSA</w:t>
      </w:r>
      <w:r w:rsidR="00174D2C" w:rsidRPr="00193318">
        <w:rPr>
          <w:sz w:val="22"/>
          <w:szCs w:val="22"/>
        </w:rPr>
        <w:t xml:space="preserve"> (U.K), </w:t>
      </w:r>
      <w:r w:rsidR="00CD6EF1" w:rsidRPr="00193318">
        <w:rPr>
          <w:sz w:val="22"/>
          <w:szCs w:val="22"/>
        </w:rPr>
        <w:t xml:space="preserve">KBA </w:t>
      </w:r>
      <w:r w:rsidR="00174D2C" w:rsidRPr="00F276E7">
        <w:rPr>
          <w:sz w:val="22"/>
          <w:szCs w:val="22"/>
        </w:rPr>
        <w:t xml:space="preserve">(Germany), and </w:t>
      </w:r>
      <w:r w:rsidR="00CD6EF1" w:rsidRPr="00F276E7">
        <w:rPr>
          <w:sz w:val="22"/>
          <w:szCs w:val="22"/>
        </w:rPr>
        <w:t xml:space="preserve">the Department of Infrastructure, Transport, Regional Development, Communications and the Arts </w:t>
      </w:r>
      <w:r w:rsidR="00174D2C" w:rsidRPr="00F276E7">
        <w:rPr>
          <w:sz w:val="22"/>
          <w:szCs w:val="22"/>
        </w:rPr>
        <w:t>(Australia)</w:t>
      </w:r>
      <w:r w:rsidR="00193318">
        <w:rPr>
          <w:rStyle w:val="FootnoteReference"/>
          <w:sz w:val="22"/>
          <w:szCs w:val="22"/>
        </w:rPr>
        <w:footnoteReference w:id="3"/>
      </w:r>
      <w:r w:rsidRPr="00193318">
        <w:rPr>
          <w:sz w:val="22"/>
          <w:szCs w:val="22"/>
        </w:rPr>
        <w:t xml:space="preserve">. </w:t>
      </w:r>
      <w:r w:rsidR="0045348F" w:rsidRPr="00193318">
        <w:rPr>
          <w:sz w:val="22"/>
          <w:szCs w:val="22"/>
        </w:rPr>
        <w:t>Specific i</w:t>
      </w:r>
      <w:r w:rsidR="00174D2C" w:rsidRPr="00193318">
        <w:rPr>
          <w:sz w:val="22"/>
          <w:szCs w:val="22"/>
        </w:rPr>
        <w:t xml:space="preserve">nformation </w:t>
      </w:r>
      <w:r w:rsidR="0045348F" w:rsidRPr="00193318">
        <w:rPr>
          <w:sz w:val="22"/>
          <w:szCs w:val="22"/>
        </w:rPr>
        <w:t>related to a</w:t>
      </w:r>
      <w:r w:rsidR="00174D2C" w:rsidRPr="00193318">
        <w:rPr>
          <w:sz w:val="22"/>
          <w:szCs w:val="22"/>
        </w:rPr>
        <w:t xml:space="preserve"> recall varies by </w:t>
      </w:r>
      <w:r w:rsidR="0045348F" w:rsidRPr="00193318">
        <w:rPr>
          <w:sz w:val="22"/>
          <w:szCs w:val="22"/>
        </w:rPr>
        <w:t xml:space="preserve">the </w:t>
      </w:r>
      <w:r w:rsidR="00174D2C" w:rsidRPr="00193318">
        <w:rPr>
          <w:sz w:val="22"/>
          <w:szCs w:val="22"/>
        </w:rPr>
        <w:t>agency</w:t>
      </w:r>
      <w:r w:rsidR="0045348F" w:rsidRPr="00193318">
        <w:rPr>
          <w:sz w:val="22"/>
          <w:szCs w:val="22"/>
        </w:rPr>
        <w:t xml:space="preserve"> that publishes it, but a</w:t>
      </w:r>
      <w:r w:rsidR="00CD6EF1" w:rsidRPr="00193318">
        <w:rPr>
          <w:sz w:val="22"/>
          <w:szCs w:val="22"/>
        </w:rPr>
        <w:t>ll</w:t>
      </w:r>
      <w:r w:rsidR="00174D2C" w:rsidRPr="00193318">
        <w:rPr>
          <w:sz w:val="22"/>
          <w:szCs w:val="22"/>
        </w:rPr>
        <w:t xml:space="preserve"> the respective agencies publish information on the date of the recall, as well as a description of the problem.</w:t>
      </w:r>
      <w:r w:rsidR="00CD6EF1" w:rsidRPr="00193318">
        <w:rPr>
          <w:sz w:val="22"/>
          <w:szCs w:val="22"/>
        </w:rPr>
        <w:t xml:space="preserve"> Germany</w:t>
      </w:r>
      <w:r w:rsidR="00174D2C" w:rsidRPr="00193318">
        <w:rPr>
          <w:sz w:val="22"/>
          <w:szCs w:val="22"/>
        </w:rPr>
        <w:t xml:space="preserve"> does not publish the number of potentially affected vehicles</w:t>
      </w:r>
      <w:r w:rsidR="00CD6EF1" w:rsidRPr="00193318">
        <w:rPr>
          <w:sz w:val="22"/>
          <w:szCs w:val="22"/>
        </w:rPr>
        <w:t xml:space="preserve"> while </w:t>
      </w:r>
      <w:r w:rsidR="006B03C3" w:rsidRPr="00193318">
        <w:rPr>
          <w:sz w:val="22"/>
          <w:szCs w:val="22"/>
        </w:rPr>
        <w:t xml:space="preserve">regulatory </w:t>
      </w:r>
      <w:r w:rsidR="00CD6EF1" w:rsidRPr="00193318">
        <w:rPr>
          <w:sz w:val="22"/>
          <w:szCs w:val="22"/>
        </w:rPr>
        <w:t>agencies</w:t>
      </w:r>
      <w:r w:rsidR="006B03C3" w:rsidRPr="00193318">
        <w:rPr>
          <w:sz w:val="22"/>
          <w:szCs w:val="22"/>
        </w:rPr>
        <w:t xml:space="preserve"> in the other three countries</w:t>
      </w:r>
      <w:r w:rsidR="00CD6EF1" w:rsidRPr="00193318">
        <w:rPr>
          <w:sz w:val="22"/>
          <w:szCs w:val="22"/>
        </w:rPr>
        <w:t xml:space="preserve"> do</w:t>
      </w:r>
      <w:r w:rsidR="00174D2C" w:rsidRPr="00193318">
        <w:rPr>
          <w:sz w:val="22"/>
          <w:szCs w:val="22"/>
        </w:rPr>
        <w:t xml:space="preserve">. </w:t>
      </w:r>
      <w:r w:rsidR="00103F56" w:rsidRPr="00193318">
        <w:rPr>
          <w:sz w:val="22"/>
          <w:szCs w:val="22"/>
        </w:rPr>
        <w:t>Similar to previous work involving product recalls (Haunschild and Rhee 2004</w:t>
      </w:r>
      <w:r w:rsidR="00D35403" w:rsidRPr="00193318">
        <w:rPr>
          <w:sz w:val="22"/>
          <w:szCs w:val="22"/>
        </w:rPr>
        <w:t>;</w:t>
      </w:r>
      <w:r w:rsidR="00103F56" w:rsidRPr="00193318">
        <w:rPr>
          <w:sz w:val="22"/>
          <w:szCs w:val="22"/>
        </w:rPr>
        <w:t xml:space="preserve"> </w:t>
      </w:r>
      <w:r w:rsidR="00103F56" w:rsidRPr="00193318">
        <w:rPr>
          <w:sz w:val="22"/>
          <w:szCs w:val="22"/>
        </w:rPr>
        <w:lastRenderedPageBreak/>
        <w:t>Rhee and Haunschild 2006</w:t>
      </w:r>
      <w:r w:rsidR="0083429D" w:rsidRPr="00193318">
        <w:rPr>
          <w:sz w:val="22"/>
          <w:szCs w:val="22"/>
        </w:rPr>
        <w:t>)</w:t>
      </w:r>
      <w:r w:rsidR="00103F56" w:rsidRPr="00193318">
        <w:rPr>
          <w:sz w:val="22"/>
          <w:szCs w:val="22"/>
        </w:rPr>
        <w:t xml:space="preserve">, the unit of analysis </w:t>
      </w:r>
      <w:r w:rsidR="0083429D" w:rsidRPr="00193318">
        <w:rPr>
          <w:sz w:val="22"/>
          <w:szCs w:val="22"/>
        </w:rPr>
        <w:t xml:space="preserve">in our study </w:t>
      </w:r>
      <w:r w:rsidR="00103F56" w:rsidRPr="00193318">
        <w:rPr>
          <w:sz w:val="22"/>
          <w:szCs w:val="22"/>
        </w:rPr>
        <w:t>was the automaker (e.g.</w:t>
      </w:r>
      <w:r w:rsidR="0009613C" w:rsidRPr="00193318">
        <w:rPr>
          <w:sz w:val="22"/>
          <w:szCs w:val="22"/>
        </w:rPr>
        <w:t>,</w:t>
      </w:r>
      <w:r w:rsidR="00103F56" w:rsidRPr="00193318">
        <w:rPr>
          <w:sz w:val="22"/>
          <w:szCs w:val="22"/>
        </w:rPr>
        <w:t xml:space="preserve"> Lexus) rather than the parent firm (e.g.</w:t>
      </w:r>
      <w:r w:rsidR="0009613C" w:rsidRPr="00193318">
        <w:rPr>
          <w:sz w:val="22"/>
          <w:szCs w:val="22"/>
        </w:rPr>
        <w:t>,</w:t>
      </w:r>
      <w:r w:rsidR="00103F56" w:rsidRPr="00193318">
        <w:rPr>
          <w:sz w:val="22"/>
          <w:szCs w:val="22"/>
        </w:rPr>
        <w:t xml:space="preserve"> Toyota)</w:t>
      </w:r>
      <w:r w:rsidRPr="00193318">
        <w:rPr>
          <w:sz w:val="22"/>
          <w:szCs w:val="22"/>
        </w:rPr>
        <w:t xml:space="preserve">. </w:t>
      </w:r>
    </w:p>
    <w:p w14:paraId="2DE88585" w14:textId="76D5CD0F" w:rsidR="007369B8" w:rsidRPr="00193318" w:rsidRDefault="00475894" w:rsidP="006324E2">
      <w:pPr>
        <w:spacing w:line="480" w:lineRule="auto"/>
        <w:rPr>
          <w:sz w:val="22"/>
          <w:szCs w:val="22"/>
        </w:rPr>
      </w:pPr>
      <w:r w:rsidRPr="00193318">
        <w:rPr>
          <w:sz w:val="22"/>
          <w:szCs w:val="22"/>
        </w:rPr>
        <w:tab/>
      </w:r>
      <w:r w:rsidR="007369B8" w:rsidRPr="00193318">
        <w:rPr>
          <w:sz w:val="22"/>
          <w:szCs w:val="22"/>
        </w:rPr>
        <w:t xml:space="preserve">In order to study the factors that would </w:t>
      </w:r>
      <w:r w:rsidR="00974404" w:rsidRPr="00193318">
        <w:rPr>
          <w:sz w:val="22"/>
          <w:szCs w:val="22"/>
        </w:rPr>
        <w:t>affect</w:t>
      </w:r>
      <w:r w:rsidR="007369B8" w:rsidRPr="00193318">
        <w:rPr>
          <w:sz w:val="22"/>
          <w:szCs w:val="22"/>
        </w:rPr>
        <w:t xml:space="preserve"> a firm</w:t>
      </w:r>
      <w:r w:rsidR="00974404" w:rsidRPr="00193318">
        <w:rPr>
          <w:sz w:val="22"/>
          <w:szCs w:val="22"/>
        </w:rPr>
        <w:t>’</w:t>
      </w:r>
      <w:r w:rsidR="007369B8" w:rsidRPr="00193318">
        <w:rPr>
          <w:sz w:val="22"/>
          <w:szCs w:val="22"/>
        </w:rPr>
        <w:t xml:space="preserve">s responsiveness, we focused on new products. </w:t>
      </w:r>
      <w:r w:rsidR="00974404" w:rsidRPr="00193318">
        <w:rPr>
          <w:sz w:val="22"/>
          <w:szCs w:val="22"/>
        </w:rPr>
        <w:t>B</w:t>
      </w:r>
      <w:r w:rsidR="007369B8" w:rsidRPr="00193318">
        <w:rPr>
          <w:sz w:val="22"/>
          <w:szCs w:val="22"/>
        </w:rPr>
        <w:t>y their very nature</w:t>
      </w:r>
      <w:r w:rsidR="00974404" w:rsidRPr="00193318">
        <w:rPr>
          <w:sz w:val="22"/>
          <w:szCs w:val="22"/>
        </w:rPr>
        <w:t>, new products</w:t>
      </w:r>
      <w:r w:rsidR="007369B8" w:rsidRPr="00193318">
        <w:rPr>
          <w:sz w:val="22"/>
          <w:szCs w:val="22"/>
        </w:rPr>
        <w:t xml:space="preserve"> often contain novel aspects in their design, which makes them susceptible to recall after their release (</w:t>
      </w:r>
      <w:r w:rsidR="009977E1" w:rsidRPr="00193318">
        <w:rPr>
          <w:sz w:val="22"/>
          <w:szCs w:val="22"/>
        </w:rPr>
        <w:t xml:space="preserve">Clark </w:t>
      </w:r>
      <w:r w:rsidR="00074A3D" w:rsidRPr="00193318">
        <w:rPr>
          <w:sz w:val="22"/>
          <w:szCs w:val="22"/>
        </w:rPr>
        <w:t>et al.</w:t>
      </w:r>
      <w:r w:rsidR="00DE135A" w:rsidRPr="00193318">
        <w:rPr>
          <w:sz w:val="22"/>
          <w:szCs w:val="22"/>
        </w:rPr>
        <w:t>,</w:t>
      </w:r>
      <w:r w:rsidR="00074A3D" w:rsidRPr="00193318">
        <w:rPr>
          <w:sz w:val="22"/>
          <w:szCs w:val="22"/>
        </w:rPr>
        <w:t xml:space="preserve"> 1987</w:t>
      </w:r>
      <w:r w:rsidR="007369B8" w:rsidRPr="00193318">
        <w:rPr>
          <w:sz w:val="22"/>
          <w:szCs w:val="22"/>
        </w:rPr>
        <w:t xml:space="preserve">). For example, in 2011, Jaguar issued a recall of its new X-Type model after discovering that the off-switch for the cruise control feature may not work. This </w:t>
      </w:r>
      <w:r w:rsidR="00F237C9" w:rsidRPr="00193318">
        <w:rPr>
          <w:sz w:val="22"/>
          <w:szCs w:val="22"/>
        </w:rPr>
        <w:t xml:space="preserve">issue </w:t>
      </w:r>
      <w:r w:rsidR="007369B8" w:rsidRPr="00193318">
        <w:rPr>
          <w:sz w:val="22"/>
          <w:szCs w:val="22"/>
        </w:rPr>
        <w:t>came to light only after users had accumulated enough mileage on the automobile to wear out the connection between the cruise</w:t>
      </w:r>
      <w:r w:rsidR="000A30D3" w:rsidRPr="00193318">
        <w:rPr>
          <w:sz w:val="22"/>
          <w:szCs w:val="22"/>
        </w:rPr>
        <w:t>-</w:t>
      </w:r>
      <w:r w:rsidR="007369B8" w:rsidRPr="00193318">
        <w:rPr>
          <w:sz w:val="22"/>
          <w:szCs w:val="22"/>
        </w:rPr>
        <w:t xml:space="preserve">control button and the main control panel (The Daily Mail, October 2011). In contrast, </w:t>
      </w:r>
      <w:r w:rsidR="000A30D3" w:rsidRPr="00193318">
        <w:rPr>
          <w:sz w:val="22"/>
          <w:szCs w:val="22"/>
        </w:rPr>
        <w:t xml:space="preserve">established </w:t>
      </w:r>
      <w:r w:rsidR="007369B8" w:rsidRPr="00193318">
        <w:rPr>
          <w:sz w:val="22"/>
          <w:szCs w:val="22"/>
        </w:rPr>
        <w:t>products tend to benefit from the learning accumulated through various models (Argote 1999; Argote, Beckman</w:t>
      </w:r>
      <w:r w:rsidR="00190FFE" w:rsidRPr="00193318">
        <w:rPr>
          <w:sz w:val="22"/>
          <w:szCs w:val="22"/>
        </w:rPr>
        <w:t xml:space="preserve">, </w:t>
      </w:r>
      <w:r w:rsidR="00DE135A" w:rsidRPr="00193318">
        <w:rPr>
          <w:sz w:val="22"/>
          <w:szCs w:val="22"/>
        </w:rPr>
        <w:t>&amp;</w:t>
      </w:r>
      <w:r w:rsidR="00DB488F" w:rsidRPr="00193318">
        <w:rPr>
          <w:sz w:val="22"/>
          <w:szCs w:val="22"/>
        </w:rPr>
        <w:t xml:space="preserve"> Epple</w:t>
      </w:r>
      <w:r w:rsidR="00DE135A" w:rsidRPr="00193318">
        <w:rPr>
          <w:sz w:val="22"/>
          <w:szCs w:val="22"/>
        </w:rPr>
        <w:t>,</w:t>
      </w:r>
      <w:r w:rsidR="007369B8" w:rsidRPr="00193318">
        <w:rPr>
          <w:sz w:val="22"/>
          <w:szCs w:val="22"/>
        </w:rPr>
        <w:t xml:space="preserve"> 1990). Consequently, old</w:t>
      </w:r>
      <w:r w:rsidR="000A30D3" w:rsidRPr="00193318">
        <w:rPr>
          <w:sz w:val="22"/>
          <w:szCs w:val="22"/>
        </w:rPr>
        <w:t>er</w:t>
      </w:r>
      <w:r w:rsidR="007369B8" w:rsidRPr="00193318">
        <w:rPr>
          <w:sz w:val="22"/>
          <w:szCs w:val="22"/>
        </w:rPr>
        <w:t xml:space="preserve"> </w:t>
      </w:r>
      <w:r w:rsidR="000A30D3" w:rsidRPr="00193318">
        <w:rPr>
          <w:sz w:val="22"/>
          <w:szCs w:val="22"/>
        </w:rPr>
        <w:t xml:space="preserve">models </w:t>
      </w:r>
      <w:r w:rsidR="007369B8" w:rsidRPr="00193318">
        <w:rPr>
          <w:sz w:val="22"/>
          <w:szCs w:val="22"/>
        </w:rPr>
        <w:t>tend to have fewer flaws. By focusing on new vehicles</w:t>
      </w:r>
      <w:r w:rsidR="00F06710" w:rsidRPr="00193318">
        <w:rPr>
          <w:sz w:val="22"/>
          <w:szCs w:val="22"/>
        </w:rPr>
        <w:t xml:space="preserve"> only</w:t>
      </w:r>
      <w:r w:rsidR="007369B8" w:rsidRPr="00193318">
        <w:rPr>
          <w:sz w:val="22"/>
          <w:szCs w:val="22"/>
        </w:rPr>
        <w:t>, we eliminate</w:t>
      </w:r>
      <w:r w:rsidR="00F06710" w:rsidRPr="00193318">
        <w:rPr>
          <w:sz w:val="22"/>
          <w:szCs w:val="22"/>
        </w:rPr>
        <w:t>d</w:t>
      </w:r>
      <w:r w:rsidR="007369B8" w:rsidRPr="00193318">
        <w:rPr>
          <w:sz w:val="22"/>
          <w:szCs w:val="22"/>
        </w:rPr>
        <w:t xml:space="preserve"> the possibility of the learning accumulated by </w:t>
      </w:r>
      <w:r w:rsidR="000A30D3" w:rsidRPr="00193318">
        <w:rPr>
          <w:sz w:val="22"/>
          <w:szCs w:val="22"/>
        </w:rPr>
        <w:t xml:space="preserve">established models </w:t>
      </w:r>
      <w:r w:rsidR="007369B8" w:rsidRPr="00193318">
        <w:rPr>
          <w:sz w:val="22"/>
          <w:szCs w:val="22"/>
        </w:rPr>
        <w:t xml:space="preserve">confounding the responsiveness being examined. </w:t>
      </w:r>
    </w:p>
    <w:p w14:paraId="4C5708AC" w14:textId="18B55DA1" w:rsidR="001B500D" w:rsidRPr="00193318" w:rsidRDefault="00475894" w:rsidP="006324E2">
      <w:pPr>
        <w:spacing w:line="480" w:lineRule="auto"/>
        <w:rPr>
          <w:sz w:val="22"/>
          <w:szCs w:val="22"/>
        </w:rPr>
      </w:pPr>
      <w:r w:rsidRPr="00193318">
        <w:rPr>
          <w:sz w:val="22"/>
          <w:szCs w:val="22"/>
        </w:rPr>
        <w:tab/>
      </w:r>
      <w:r w:rsidR="007369B8" w:rsidRPr="00193318">
        <w:rPr>
          <w:sz w:val="22"/>
          <w:szCs w:val="22"/>
        </w:rPr>
        <w:t xml:space="preserve">We took two steps to </w:t>
      </w:r>
      <w:r w:rsidR="00B86911" w:rsidRPr="00193318">
        <w:rPr>
          <w:sz w:val="22"/>
          <w:szCs w:val="22"/>
        </w:rPr>
        <w:t>verif</w:t>
      </w:r>
      <w:r w:rsidR="007369B8" w:rsidRPr="00193318">
        <w:rPr>
          <w:sz w:val="22"/>
          <w:szCs w:val="22"/>
        </w:rPr>
        <w:t xml:space="preserve">y </w:t>
      </w:r>
      <w:r w:rsidR="00B86911" w:rsidRPr="00193318">
        <w:rPr>
          <w:sz w:val="22"/>
          <w:szCs w:val="22"/>
        </w:rPr>
        <w:t xml:space="preserve">our </w:t>
      </w:r>
      <w:r w:rsidR="00606A10" w:rsidRPr="00193318">
        <w:rPr>
          <w:sz w:val="22"/>
          <w:szCs w:val="22"/>
        </w:rPr>
        <w:t>assertion that</w:t>
      </w:r>
      <w:r w:rsidR="00CF7DA3" w:rsidRPr="00193318">
        <w:rPr>
          <w:sz w:val="22"/>
          <w:szCs w:val="22"/>
        </w:rPr>
        <w:t>,</w:t>
      </w:r>
      <w:r w:rsidR="00606A10" w:rsidRPr="00193318">
        <w:rPr>
          <w:sz w:val="22"/>
          <w:szCs w:val="22"/>
        </w:rPr>
        <w:t xml:space="preserve"> </w:t>
      </w:r>
      <w:r w:rsidR="00CF7DA3" w:rsidRPr="00193318">
        <w:rPr>
          <w:sz w:val="22"/>
          <w:szCs w:val="22"/>
        </w:rPr>
        <w:t xml:space="preserve">compared to more established models, </w:t>
      </w:r>
      <w:r w:rsidR="00606A10" w:rsidRPr="00193318">
        <w:rPr>
          <w:sz w:val="22"/>
          <w:szCs w:val="22"/>
        </w:rPr>
        <w:t xml:space="preserve">new </w:t>
      </w:r>
      <w:r w:rsidR="001875EB" w:rsidRPr="00193318">
        <w:rPr>
          <w:sz w:val="22"/>
          <w:szCs w:val="22"/>
        </w:rPr>
        <w:t>models</w:t>
      </w:r>
      <w:r w:rsidR="00606A10" w:rsidRPr="00193318">
        <w:rPr>
          <w:sz w:val="22"/>
          <w:szCs w:val="22"/>
        </w:rPr>
        <w:t xml:space="preserve"> are more likely to contain flaws</w:t>
      </w:r>
      <w:r w:rsidR="00CF7DA3" w:rsidRPr="00193318">
        <w:rPr>
          <w:sz w:val="22"/>
          <w:szCs w:val="22"/>
        </w:rPr>
        <w:t>.</w:t>
      </w:r>
      <w:r w:rsidR="007369B8" w:rsidRPr="00193318">
        <w:rPr>
          <w:sz w:val="22"/>
          <w:szCs w:val="22"/>
        </w:rPr>
        <w:t xml:space="preserve"> First</w:t>
      </w:r>
      <w:r w:rsidR="00B86911" w:rsidRPr="00193318">
        <w:rPr>
          <w:sz w:val="22"/>
          <w:szCs w:val="22"/>
        </w:rPr>
        <w:t>,</w:t>
      </w:r>
      <w:r w:rsidR="00606A10" w:rsidRPr="00193318">
        <w:rPr>
          <w:sz w:val="22"/>
          <w:szCs w:val="22"/>
        </w:rPr>
        <w:t xml:space="preserve"> we </w:t>
      </w:r>
      <w:r w:rsidR="00C0585E" w:rsidRPr="00193318">
        <w:rPr>
          <w:sz w:val="22"/>
          <w:szCs w:val="22"/>
        </w:rPr>
        <w:t>used the Consumer Reports website (</w:t>
      </w:r>
      <w:r w:rsidR="00606A10" w:rsidRPr="00193318">
        <w:rPr>
          <w:sz w:val="22"/>
          <w:szCs w:val="22"/>
        </w:rPr>
        <w:t>consumereports.org</w:t>
      </w:r>
      <w:r w:rsidR="00C0585E" w:rsidRPr="00193318">
        <w:rPr>
          <w:sz w:val="22"/>
          <w:szCs w:val="22"/>
        </w:rPr>
        <w:t>)</w:t>
      </w:r>
      <w:r w:rsidR="00606A10" w:rsidRPr="00193318">
        <w:rPr>
          <w:sz w:val="22"/>
          <w:szCs w:val="22"/>
        </w:rPr>
        <w:t xml:space="preserve"> </w:t>
      </w:r>
      <w:r w:rsidR="00C0585E" w:rsidRPr="00193318">
        <w:rPr>
          <w:sz w:val="22"/>
          <w:szCs w:val="22"/>
        </w:rPr>
        <w:t xml:space="preserve">to track </w:t>
      </w:r>
      <w:r w:rsidR="004F54FB" w:rsidRPr="00193318">
        <w:rPr>
          <w:sz w:val="22"/>
          <w:szCs w:val="22"/>
        </w:rPr>
        <w:t>expert</w:t>
      </w:r>
      <w:r w:rsidR="00606A10" w:rsidRPr="00193318">
        <w:rPr>
          <w:sz w:val="22"/>
          <w:szCs w:val="22"/>
        </w:rPr>
        <w:t xml:space="preserve"> ratings of the </w:t>
      </w:r>
      <w:r w:rsidR="00541857" w:rsidRPr="00193318">
        <w:rPr>
          <w:sz w:val="22"/>
          <w:szCs w:val="22"/>
        </w:rPr>
        <w:t>U.S. cars</w:t>
      </w:r>
      <w:r w:rsidR="00606A10" w:rsidRPr="00193318">
        <w:rPr>
          <w:sz w:val="22"/>
          <w:szCs w:val="22"/>
        </w:rPr>
        <w:t xml:space="preserve"> within our sample. The</w:t>
      </w:r>
      <w:r w:rsidR="00C0585E" w:rsidRPr="00193318">
        <w:rPr>
          <w:sz w:val="22"/>
          <w:szCs w:val="22"/>
        </w:rPr>
        <w:t>se</w:t>
      </w:r>
      <w:r w:rsidR="00606A10" w:rsidRPr="00193318">
        <w:rPr>
          <w:sz w:val="22"/>
          <w:szCs w:val="22"/>
        </w:rPr>
        <w:t xml:space="preserve"> </w:t>
      </w:r>
      <w:r w:rsidR="004F54FB" w:rsidRPr="00193318">
        <w:rPr>
          <w:sz w:val="22"/>
          <w:szCs w:val="22"/>
        </w:rPr>
        <w:t>expert ratings identif</w:t>
      </w:r>
      <w:r w:rsidR="007369B8" w:rsidRPr="00193318">
        <w:rPr>
          <w:sz w:val="22"/>
          <w:szCs w:val="22"/>
        </w:rPr>
        <w:t xml:space="preserve">ied </w:t>
      </w:r>
      <w:r w:rsidR="004F54FB" w:rsidRPr="00193318">
        <w:rPr>
          <w:sz w:val="22"/>
          <w:szCs w:val="22"/>
        </w:rPr>
        <w:t xml:space="preserve">eight major trouble areas associated with </w:t>
      </w:r>
      <w:r w:rsidR="007369B8" w:rsidRPr="00193318">
        <w:rPr>
          <w:sz w:val="22"/>
          <w:szCs w:val="22"/>
        </w:rPr>
        <w:t>a</w:t>
      </w:r>
      <w:r w:rsidR="004F54FB" w:rsidRPr="00193318">
        <w:rPr>
          <w:sz w:val="22"/>
          <w:szCs w:val="22"/>
        </w:rPr>
        <w:t xml:space="preserve"> car</w:t>
      </w:r>
      <w:r w:rsidR="007369B8" w:rsidRPr="00193318">
        <w:rPr>
          <w:sz w:val="22"/>
          <w:szCs w:val="22"/>
        </w:rPr>
        <w:t xml:space="preserve"> and rate</w:t>
      </w:r>
      <w:r w:rsidR="00C0585E" w:rsidRPr="00193318">
        <w:rPr>
          <w:sz w:val="22"/>
          <w:szCs w:val="22"/>
        </w:rPr>
        <w:t>d</w:t>
      </w:r>
      <w:r w:rsidR="007369B8" w:rsidRPr="00193318">
        <w:rPr>
          <w:sz w:val="22"/>
          <w:szCs w:val="22"/>
        </w:rPr>
        <w:t xml:space="preserve"> these areas on a five-</w:t>
      </w:r>
      <w:r w:rsidR="004F54FB" w:rsidRPr="00193318">
        <w:rPr>
          <w:sz w:val="22"/>
          <w:szCs w:val="22"/>
        </w:rPr>
        <w:t>point scale</w:t>
      </w:r>
      <w:r w:rsidR="000A30D3" w:rsidRPr="00193318">
        <w:rPr>
          <w:sz w:val="22"/>
          <w:szCs w:val="22"/>
        </w:rPr>
        <w:t>,</w:t>
      </w:r>
      <w:r w:rsidR="004F54FB" w:rsidRPr="00193318">
        <w:rPr>
          <w:sz w:val="22"/>
          <w:szCs w:val="22"/>
        </w:rPr>
        <w:t xml:space="preserve"> anchored by </w:t>
      </w:r>
      <w:r w:rsidR="00C0585E" w:rsidRPr="00193318">
        <w:rPr>
          <w:sz w:val="22"/>
          <w:szCs w:val="22"/>
        </w:rPr>
        <w:t>“</w:t>
      </w:r>
      <w:r w:rsidR="004F54FB" w:rsidRPr="00193318">
        <w:rPr>
          <w:sz w:val="22"/>
          <w:szCs w:val="22"/>
        </w:rPr>
        <w:t>better</w:t>
      </w:r>
      <w:r w:rsidR="00C0585E" w:rsidRPr="00193318">
        <w:rPr>
          <w:sz w:val="22"/>
          <w:szCs w:val="22"/>
        </w:rPr>
        <w:t>”</w:t>
      </w:r>
      <w:r w:rsidR="004F54FB" w:rsidRPr="00193318">
        <w:rPr>
          <w:sz w:val="22"/>
          <w:szCs w:val="22"/>
        </w:rPr>
        <w:t xml:space="preserve"> and </w:t>
      </w:r>
      <w:r w:rsidR="00C0585E" w:rsidRPr="00193318">
        <w:rPr>
          <w:sz w:val="22"/>
          <w:szCs w:val="22"/>
        </w:rPr>
        <w:t>“</w:t>
      </w:r>
      <w:r w:rsidR="004F54FB" w:rsidRPr="00193318">
        <w:rPr>
          <w:sz w:val="22"/>
          <w:szCs w:val="22"/>
        </w:rPr>
        <w:t>worse</w:t>
      </w:r>
      <w:r w:rsidR="00C0585E" w:rsidRPr="00193318">
        <w:rPr>
          <w:sz w:val="22"/>
          <w:szCs w:val="22"/>
        </w:rPr>
        <w:t>.”</w:t>
      </w:r>
      <w:r w:rsidR="004F54FB" w:rsidRPr="00193318">
        <w:rPr>
          <w:sz w:val="22"/>
          <w:szCs w:val="22"/>
        </w:rPr>
        <w:t xml:space="preserve">  </w:t>
      </w:r>
      <w:r w:rsidR="00C0585E" w:rsidRPr="00193318">
        <w:rPr>
          <w:sz w:val="22"/>
          <w:szCs w:val="22"/>
        </w:rPr>
        <w:t>We found that a</w:t>
      </w:r>
      <w:r w:rsidR="004F54FB" w:rsidRPr="00193318">
        <w:rPr>
          <w:sz w:val="22"/>
          <w:szCs w:val="22"/>
        </w:rPr>
        <w:t>utomobile models consistently receive</w:t>
      </w:r>
      <w:r w:rsidR="00C0585E" w:rsidRPr="00193318">
        <w:rPr>
          <w:sz w:val="22"/>
          <w:szCs w:val="22"/>
        </w:rPr>
        <w:t>d</w:t>
      </w:r>
      <w:r w:rsidR="004F54FB" w:rsidRPr="00193318">
        <w:rPr>
          <w:sz w:val="22"/>
          <w:szCs w:val="22"/>
        </w:rPr>
        <w:t xml:space="preserve"> lower ratings in the two years following their release </w:t>
      </w:r>
      <w:r w:rsidR="001875EB" w:rsidRPr="00193318">
        <w:rPr>
          <w:sz w:val="22"/>
          <w:szCs w:val="22"/>
        </w:rPr>
        <w:t xml:space="preserve">compared to the </w:t>
      </w:r>
      <w:r w:rsidR="004F54FB" w:rsidRPr="00193318">
        <w:rPr>
          <w:sz w:val="22"/>
          <w:szCs w:val="22"/>
        </w:rPr>
        <w:t>later versions of the model</w:t>
      </w:r>
      <w:r w:rsidR="0083429D" w:rsidRPr="00193318">
        <w:rPr>
          <w:sz w:val="22"/>
          <w:szCs w:val="22"/>
        </w:rPr>
        <w:t>,</w:t>
      </w:r>
      <w:r w:rsidR="004F54FB" w:rsidRPr="00193318">
        <w:rPr>
          <w:sz w:val="22"/>
          <w:szCs w:val="22"/>
        </w:rPr>
        <w:t xml:space="preserve"> thus demonstrating that </w:t>
      </w:r>
      <w:r w:rsidR="001875EB" w:rsidRPr="00193318">
        <w:rPr>
          <w:sz w:val="22"/>
          <w:szCs w:val="22"/>
        </w:rPr>
        <w:t xml:space="preserve">a model </w:t>
      </w:r>
      <w:r w:rsidR="004F54FB" w:rsidRPr="00193318">
        <w:rPr>
          <w:sz w:val="22"/>
          <w:szCs w:val="22"/>
        </w:rPr>
        <w:t>improves over time.</w:t>
      </w:r>
      <w:r w:rsidR="00523004" w:rsidRPr="00193318">
        <w:rPr>
          <w:sz w:val="22"/>
          <w:szCs w:val="22"/>
        </w:rPr>
        <w:t xml:space="preserve"> </w:t>
      </w:r>
      <w:r w:rsidR="00F414F5" w:rsidRPr="00193318">
        <w:rPr>
          <w:sz w:val="22"/>
          <w:szCs w:val="22"/>
        </w:rPr>
        <w:t>Second</w:t>
      </w:r>
      <w:r w:rsidR="00CD20A0" w:rsidRPr="00193318">
        <w:rPr>
          <w:sz w:val="22"/>
          <w:szCs w:val="22"/>
        </w:rPr>
        <w:t>,</w:t>
      </w:r>
      <w:r w:rsidR="00523004" w:rsidRPr="00193318">
        <w:rPr>
          <w:sz w:val="22"/>
          <w:szCs w:val="22"/>
        </w:rPr>
        <w:t xml:space="preserve"> </w:t>
      </w:r>
      <w:r w:rsidR="00C0585E" w:rsidRPr="00193318">
        <w:rPr>
          <w:sz w:val="22"/>
          <w:szCs w:val="22"/>
        </w:rPr>
        <w:t xml:space="preserve">using a discrete hazard model, </w:t>
      </w:r>
      <w:r w:rsidR="00523004" w:rsidRPr="00193318">
        <w:rPr>
          <w:sz w:val="22"/>
          <w:szCs w:val="22"/>
        </w:rPr>
        <w:t xml:space="preserve">we compared the time it took </w:t>
      </w:r>
      <w:r w:rsidR="00F414F5" w:rsidRPr="00193318">
        <w:rPr>
          <w:sz w:val="22"/>
          <w:szCs w:val="22"/>
        </w:rPr>
        <w:t xml:space="preserve">to recall </w:t>
      </w:r>
      <w:r w:rsidR="00523004" w:rsidRPr="00193318">
        <w:rPr>
          <w:sz w:val="22"/>
          <w:szCs w:val="22"/>
        </w:rPr>
        <w:t xml:space="preserve">new cars </w:t>
      </w:r>
      <w:r w:rsidR="00F414F5" w:rsidRPr="00193318">
        <w:rPr>
          <w:sz w:val="22"/>
          <w:szCs w:val="22"/>
        </w:rPr>
        <w:t xml:space="preserve">(i.e., sold </w:t>
      </w:r>
      <w:r w:rsidR="003E4F1E" w:rsidRPr="00193318">
        <w:rPr>
          <w:sz w:val="22"/>
          <w:szCs w:val="22"/>
        </w:rPr>
        <w:t xml:space="preserve">in the </w:t>
      </w:r>
      <w:r w:rsidR="00F414F5" w:rsidRPr="00193318">
        <w:rPr>
          <w:sz w:val="22"/>
          <w:szCs w:val="22"/>
        </w:rPr>
        <w:t xml:space="preserve">market for </w:t>
      </w:r>
      <w:r w:rsidR="00917952" w:rsidRPr="00193318">
        <w:rPr>
          <w:sz w:val="22"/>
          <w:szCs w:val="22"/>
        </w:rPr>
        <w:t>one year</w:t>
      </w:r>
      <w:r w:rsidR="00F414F5" w:rsidRPr="00193318">
        <w:rPr>
          <w:sz w:val="22"/>
          <w:szCs w:val="22"/>
        </w:rPr>
        <w:t xml:space="preserve">) </w:t>
      </w:r>
      <w:r w:rsidR="003E4F1E" w:rsidRPr="00193318">
        <w:rPr>
          <w:sz w:val="22"/>
          <w:szCs w:val="22"/>
        </w:rPr>
        <w:t>against</w:t>
      </w:r>
      <w:r w:rsidR="00523004" w:rsidRPr="00193318">
        <w:rPr>
          <w:sz w:val="22"/>
          <w:szCs w:val="22"/>
        </w:rPr>
        <w:t xml:space="preserve"> the time it took </w:t>
      </w:r>
      <w:r w:rsidR="00C0585E" w:rsidRPr="00193318">
        <w:rPr>
          <w:sz w:val="22"/>
          <w:szCs w:val="22"/>
        </w:rPr>
        <w:t xml:space="preserve">to recall </w:t>
      </w:r>
      <w:r w:rsidR="00523004" w:rsidRPr="00193318">
        <w:rPr>
          <w:sz w:val="22"/>
          <w:szCs w:val="22"/>
        </w:rPr>
        <w:t xml:space="preserve">the </w:t>
      </w:r>
      <w:r w:rsidR="00957F12" w:rsidRPr="00193318">
        <w:rPr>
          <w:sz w:val="22"/>
          <w:szCs w:val="22"/>
        </w:rPr>
        <w:t xml:space="preserve">established </w:t>
      </w:r>
      <w:r w:rsidR="00F414F5" w:rsidRPr="00193318">
        <w:rPr>
          <w:sz w:val="22"/>
          <w:szCs w:val="22"/>
        </w:rPr>
        <w:t>models</w:t>
      </w:r>
      <w:r w:rsidR="001875EB" w:rsidRPr="00193318">
        <w:rPr>
          <w:sz w:val="22"/>
          <w:szCs w:val="22"/>
        </w:rPr>
        <w:t>. W</w:t>
      </w:r>
      <w:r w:rsidR="00C0585E" w:rsidRPr="00193318">
        <w:rPr>
          <w:sz w:val="22"/>
          <w:szCs w:val="22"/>
        </w:rPr>
        <w:t xml:space="preserve">e </w:t>
      </w:r>
      <w:r w:rsidR="00F414F5" w:rsidRPr="00193318">
        <w:rPr>
          <w:sz w:val="22"/>
          <w:szCs w:val="22"/>
        </w:rPr>
        <w:t>found that new cars were recalled faster than their established counterparts. Specifically, b</w:t>
      </w:r>
      <w:r w:rsidR="003E4F1E" w:rsidRPr="00193318">
        <w:rPr>
          <w:sz w:val="22"/>
          <w:szCs w:val="22"/>
        </w:rPr>
        <w:t xml:space="preserve">oth a </w:t>
      </w:r>
      <w:r w:rsidR="000A30D3" w:rsidRPr="00193318">
        <w:rPr>
          <w:sz w:val="22"/>
          <w:szCs w:val="22"/>
        </w:rPr>
        <w:t>l</w:t>
      </w:r>
      <w:r w:rsidR="003E4F1E" w:rsidRPr="00193318">
        <w:rPr>
          <w:sz w:val="22"/>
          <w:szCs w:val="22"/>
        </w:rPr>
        <w:t>og-</w:t>
      </w:r>
      <w:r w:rsidR="000A30D3" w:rsidRPr="00193318">
        <w:rPr>
          <w:sz w:val="22"/>
          <w:szCs w:val="22"/>
        </w:rPr>
        <w:t>r</w:t>
      </w:r>
      <w:r w:rsidR="003E4F1E" w:rsidRPr="00193318">
        <w:rPr>
          <w:sz w:val="22"/>
          <w:szCs w:val="22"/>
        </w:rPr>
        <w:t xml:space="preserve">ank </w:t>
      </w:r>
      <w:r w:rsidR="000A30D3" w:rsidRPr="00193318">
        <w:rPr>
          <w:sz w:val="22"/>
          <w:szCs w:val="22"/>
        </w:rPr>
        <w:t xml:space="preserve">test </w:t>
      </w:r>
      <w:r w:rsidR="003E4F1E" w:rsidRPr="00193318">
        <w:rPr>
          <w:sz w:val="22"/>
          <w:szCs w:val="22"/>
        </w:rPr>
        <w:t>(</w:t>
      </w:r>
      <w:r w:rsidR="000A30D3" w:rsidRPr="00193318">
        <w:rPr>
          <w:sz w:val="22"/>
          <w:szCs w:val="22"/>
        </w:rPr>
        <w:t>c</w:t>
      </w:r>
      <w:r w:rsidR="003E4F1E" w:rsidRPr="00193318">
        <w:rPr>
          <w:sz w:val="22"/>
          <w:szCs w:val="22"/>
        </w:rPr>
        <w:t>hi-</w:t>
      </w:r>
      <w:r w:rsidR="000A30D3" w:rsidRPr="00193318">
        <w:rPr>
          <w:sz w:val="22"/>
          <w:szCs w:val="22"/>
        </w:rPr>
        <w:t>s</w:t>
      </w:r>
      <w:r w:rsidR="003E4F1E" w:rsidRPr="00193318">
        <w:rPr>
          <w:sz w:val="22"/>
          <w:szCs w:val="22"/>
        </w:rPr>
        <w:t>quare = 7.0499) and the Wilcoxon test (</w:t>
      </w:r>
      <w:r w:rsidR="000A30D3" w:rsidRPr="00193318">
        <w:rPr>
          <w:sz w:val="22"/>
          <w:szCs w:val="22"/>
        </w:rPr>
        <w:t>c</w:t>
      </w:r>
      <w:r w:rsidR="003E4F1E" w:rsidRPr="00193318">
        <w:rPr>
          <w:sz w:val="22"/>
          <w:szCs w:val="22"/>
        </w:rPr>
        <w:t>hi-</w:t>
      </w:r>
      <w:r w:rsidR="000A30D3" w:rsidRPr="00193318">
        <w:rPr>
          <w:sz w:val="22"/>
          <w:szCs w:val="22"/>
        </w:rPr>
        <w:t>s</w:t>
      </w:r>
      <w:r w:rsidR="003E4F1E" w:rsidRPr="00193318">
        <w:rPr>
          <w:sz w:val="22"/>
          <w:szCs w:val="22"/>
        </w:rPr>
        <w:t>quare = 13.5576) revealed significant differences between the two groups (</w:t>
      </w:r>
      <w:r w:rsidR="005A277D" w:rsidRPr="00193318">
        <w:rPr>
          <w:i/>
          <w:sz w:val="22"/>
          <w:szCs w:val="22"/>
        </w:rPr>
        <w:t>p</w:t>
      </w:r>
      <w:r w:rsidR="003E4F1E" w:rsidRPr="00193318">
        <w:rPr>
          <w:sz w:val="22"/>
          <w:szCs w:val="22"/>
        </w:rPr>
        <w:t xml:space="preserve"> &lt; 0.01)</w:t>
      </w:r>
      <w:r w:rsidR="00957F12" w:rsidRPr="00193318">
        <w:rPr>
          <w:sz w:val="22"/>
          <w:szCs w:val="22"/>
        </w:rPr>
        <w:t>.</w:t>
      </w:r>
      <w:r w:rsidR="00606A10" w:rsidRPr="00193318">
        <w:rPr>
          <w:sz w:val="22"/>
          <w:szCs w:val="22"/>
        </w:rPr>
        <w:t xml:space="preserve"> </w:t>
      </w:r>
      <w:r w:rsidR="0083429D" w:rsidRPr="00193318">
        <w:rPr>
          <w:sz w:val="22"/>
          <w:szCs w:val="22"/>
        </w:rPr>
        <w:tab/>
      </w:r>
      <w:r w:rsidR="00E055DD" w:rsidRPr="00193318">
        <w:rPr>
          <w:sz w:val="22"/>
          <w:szCs w:val="22"/>
        </w:rPr>
        <w:t xml:space="preserve"> </w:t>
      </w:r>
    </w:p>
    <w:p w14:paraId="01E7D79A" w14:textId="48C19E61" w:rsidR="00160A7B" w:rsidRPr="00193318" w:rsidRDefault="00475894" w:rsidP="006324E2">
      <w:pPr>
        <w:spacing w:line="480" w:lineRule="auto"/>
        <w:rPr>
          <w:sz w:val="22"/>
          <w:szCs w:val="22"/>
        </w:rPr>
      </w:pPr>
      <w:r w:rsidRPr="00193318">
        <w:rPr>
          <w:sz w:val="22"/>
          <w:szCs w:val="22"/>
        </w:rPr>
        <w:tab/>
      </w:r>
      <w:r w:rsidR="00B84F31" w:rsidRPr="00193318">
        <w:rPr>
          <w:sz w:val="22"/>
          <w:szCs w:val="22"/>
        </w:rPr>
        <w:t xml:space="preserve">We </w:t>
      </w:r>
      <w:r w:rsidR="004160DD" w:rsidRPr="00193318">
        <w:rPr>
          <w:sz w:val="22"/>
          <w:szCs w:val="22"/>
        </w:rPr>
        <w:t>constructed our sample of</w:t>
      </w:r>
      <w:r w:rsidR="00B84F31" w:rsidRPr="00193318">
        <w:rPr>
          <w:sz w:val="22"/>
          <w:szCs w:val="22"/>
        </w:rPr>
        <w:t xml:space="preserve"> new vehicles</w:t>
      </w:r>
      <w:r w:rsidR="00917952" w:rsidRPr="00193318">
        <w:rPr>
          <w:sz w:val="22"/>
          <w:szCs w:val="22"/>
        </w:rPr>
        <w:t xml:space="preserve"> in all four markets</w:t>
      </w:r>
      <w:r w:rsidR="00B84F31" w:rsidRPr="00193318">
        <w:rPr>
          <w:sz w:val="22"/>
          <w:szCs w:val="22"/>
        </w:rPr>
        <w:t xml:space="preserve"> following a systematic </w:t>
      </w:r>
      <w:r w:rsidR="00F414F5" w:rsidRPr="00193318">
        <w:rPr>
          <w:sz w:val="22"/>
          <w:szCs w:val="22"/>
        </w:rPr>
        <w:t xml:space="preserve">multi-step </w:t>
      </w:r>
      <w:r w:rsidR="00B84F31" w:rsidRPr="00193318">
        <w:rPr>
          <w:sz w:val="22"/>
          <w:szCs w:val="22"/>
        </w:rPr>
        <w:t xml:space="preserve">process. </w:t>
      </w:r>
      <w:r w:rsidR="00F414F5" w:rsidRPr="00193318">
        <w:rPr>
          <w:sz w:val="22"/>
          <w:szCs w:val="22"/>
        </w:rPr>
        <w:t xml:space="preserve">First, </w:t>
      </w:r>
      <w:r w:rsidR="00160A7B" w:rsidRPr="00193318">
        <w:rPr>
          <w:sz w:val="22"/>
          <w:szCs w:val="22"/>
        </w:rPr>
        <w:t xml:space="preserve">we created a list of new vehicles sold between 2003 and 2019 </w:t>
      </w:r>
      <w:r w:rsidR="00B84F31" w:rsidRPr="00193318">
        <w:rPr>
          <w:sz w:val="22"/>
          <w:szCs w:val="22"/>
        </w:rPr>
        <w:t xml:space="preserve">with the help of </w:t>
      </w:r>
      <w:r w:rsidR="001F664A" w:rsidRPr="00193318">
        <w:rPr>
          <w:sz w:val="22"/>
          <w:szCs w:val="22"/>
        </w:rPr>
        <w:t xml:space="preserve">sales data compiled from the </w:t>
      </w:r>
      <w:r w:rsidR="008D07D7" w:rsidRPr="00193318">
        <w:rPr>
          <w:i/>
          <w:sz w:val="22"/>
          <w:szCs w:val="22"/>
        </w:rPr>
        <w:t>Automotive News</w:t>
      </w:r>
      <w:r w:rsidR="001F664A" w:rsidRPr="00193318">
        <w:rPr>
          <w:sz w:val="22"/>
          <w:szCs w:val="22"/>
        </w:rPr>
        <w:t xml:space="preserve">, </w:t>
      </w:r>
      <w:r w:rsidR="008D07D7" w:rsidRPr="00193318">
        <w:rPr>
          <w:i/>
          <w:sz w:val="22"/>
          <w:szCs w:val="22"/>
        </w:rPr>
        <w:t>Ward</w:t>
      </w:r>
      <w:r w:rsidR="00573DF2" w:rsidRPr="00193318">
        <w:rPr>
          <w:i/>
          <w:sz w:val="22"/>
          <w:szCs w:val="22"/>
        </w:rPr>
        <w:t>’</w:t>
      </w:r>
      <w:r w:rsidR="008D07D7" w:rsidRPr="00193318">
        <w:rPr>
          <w:i/>
          <w:sz w:val="22"/>
          <w:szCs w:val="22"/>
        </w:rPr>
        <w:t>s Automotive Encyclopedia</w:t>
      </w:r>
      <w:r w:rsidR="001F664A" w:rsidRPr="00193318">
        <w:rPr>
          <w:sz w:val="22"/>
          <w:szCs w:val="22"/>
        </w:rPr>
        <w:t xml:space="preserve">, </w:t>
      </w:r>
      <w:r w:rsidR="008D07D7" w:rsidRPr="00193318">
        <w:rPr>
          <w:i/>
          <w:sz w:val="22"/>
          <w:szCs w:val="22"/>
        </w:rPr>
        <w:t>Parker</w:t>
      </w:r>
      <w:r w:rsidR="00573DF2" w:rsidRPr="00193318">
        <w:rPr>
          <w:i/>
          <w:sz w:val="22"/>
          <w:szCs w:val="22"/>
        </w:rPr>
        <w:t>’</w:t>
      </w:r>
      <w:r w:rsidR="008D07D7" w:rsidRPr="00193318">
        <w:rPr>
          <w:i/>
          <w:sz w:val="22"/>
          <w:szCs w:val="22"/>
        </w:rPr>
        <w:t>s Automotive Guidebook</w:t>
      </w:r>
      <w:r w:rsidR="009977E1" w:rsidRPr="00193318">
        <w:rPr>
          <w:sz w:val="22"/>
          <w:szCs w:val="22"/>
        </w:rPr>
        <w:t>,</w:t>
      </w:r>
      <w:r w:rsidR="001C2BC4" w:rsidRPr="00193318">
        <w:rPr>
          <w:sz w:val="22"/>
          <w:szCs w:val="22"/>
        </w:rPr>
        <w:t xml:space="preserve"> </w:t>
      </w:r>
      <w:r w:rsidR="00316947" w:rsidRPr="00193318">
        <w:rPr>
          <w:sz w:val="22"/>
          <w:szCs w:val="22"/>
        </w:rPr>
        <w:lastRenderedPageBreak/>
        <w:t xml:space="preserve">and </w:t>
      </w:r>
      <w:proofErr w:type="spellStart"/>
      <w:r w:rsidR="001C2BC4" w:rsidRPr="00193318">
        <w:rPr>
          <w:i/>
          <w:iCs/>
          <w:sz w:val="22"/>
          <w:szCs w:val="22"/>
        </w:rPr>
        <w:t>Marklines</w:t>
      </w:r>
      <w:proofErr w:type="spellEnd"/>
      <w:r w:rsidR="00395047" w:rsidRPr="00193318">
        <w:rPr>
          <w:sz w:val="22"/>
          <w:szCs w:val="22"/>
        </w:rPr>
        <w:t>.</w:t>
      </w:r>
      <w:r w:rsidR="00FE1217" w:rsidRPr="00193318">
        <w:rPr>
          <w:sz w:val="22"/>
          <w:szCs w:val="22"/>
        </w:rPr>
        <w:t xml:space="preserve"> </w:t>
      </w:r>
      <w:r w:rsidR="00160A7B" w:rsidRPr="00193318">
        <w:rPr>
          <w:sz w:val="22"/>
          <w:szCs w:val="22"/>
        </w:rPr>
        <w:t xml:space="preserve">We did not collect data after </w:t>
      </w:r>
      <w:r w:rsidR="00FE1217" w:rsidRPr="00193318">
        <w:rPr>
          <w:sz w:val="22"/>
          <w:szCs w:val="22"/>
        </w:rPr>
        <w:t>2019 because this was the onset of the Covid-19 pandemic</w:t>
      </w:r>
      <w:r w:rsidR="00160A7B" w:rsidRPr="00193318">
        <w:rPr>
          <w:sz w:val="22"/>
          <w:szCs w:val="22"/>
        </w:rPr>
        <w:t>, which resulted in</w:t>
      </w:r>
      <w:r w:rsidR="00FE1217" w:rsidRPr="00193318">
        <w:rPr>
          <w:sz w:val="22"/>
          <w:szCs w:val="22"/>
        </w:rPr>
        <w:t xml:space="preserve"> mass supply-chain bottlenecks</w:t>
      </w:r>
      <w:r w:rsidR="00160A7B" w:rsidRPr="00193318">
        <w:rPr>
          <w:sz w:val="22"/>
          <w:szCs w:val="22"/>
        </w:rPr>
        <w:t>, which had an impact on the ability of firms to serve the market</w:t>
      </w:r>
      <w:r w:rsidR="00FE1217" w:rsidRPr="00193318">
        <w:rPr>
          <w:sz w:val="22"/>
          <w:szCs w:val="22"/>
        </w:rPr>
        <w:t>.</w:t>
      </w:r>
      <w:r w:rsidR="00395047" w:rsidRPr="00193318">
        <w:rPr>
          <w:sz w:val="22"/>
          <w:szCs w:val="22"/>
        </w:rPr>
        <w:t xml:space="preserve"> </w:t>
      </w:r>
      <w:r w:rsidR="00316947" w:rsidRPr="00193318">
        <w:rPr>
          <w:sz w:val="22"/>
          <w:szCs w:val="22"/>
        </w:rPr>
        <w:t>Second, w</w:t>
      </w:r>
      <w:r w:rsidR="00395047" w:rsidRPr="00193318">
        <w:rPr>
          <w:sz w:val="22"/>
          <w:szCs w:val="22"/>
        </w:rPr>
        <w:t xml:space="preserve">e </w:t>
      </w:r>
      <w:r w:rsidR="00377A1A" w:rsidRPr="00193318">
        <w:rPr>
          <w:sz w:val="22"/>
          <w:szCs w:val="22"/>
        </w:rPr>
        <w:t xml:space="preserve">read reviews for each vehicle in </w:t>
      </w:r>
      <w:r w:rsidR="008D07D7" w:rsidRPr="00193318">
        <w:rPr>
          <w:i/>
          <w:sz w:val="22"/>
          <w:szCs w:val="22"/>
        </w:rPr>
        <w:t>Car and Driver Magazine</w:t>
      </w:r>
      <w:r w:rsidR="0015746C" w:rsidRPr="00193318">
        <w:rPr>
          <w:sz w:val="22"/>
          <w:szCs w:val="22"/>
        </w:rPr>
        <w:t>,</w:t>
      </w:r>
      <w:r w:rsidR="00377A1A" w:rsidRPr="00193318">
        <w:rPr>
          <w:sz w:val="22"/>
          <w:szCs w:val="22"/>
        </w:rPr>
        <w:t xml:space="preserve"> </w:t>
      </w:r>
      <w:r w:rsidR="008D07D7" w:rsidRPr="00193318">
        <w:rPr>
          <w:i/>
          <w:sz w:val="22"/>
          <w:szCs w:val="22"/>
        </w:rPr>
        <w:t>Parker</w:t>
      </w:r>
      <w:r w:rsidR="004F0741" w:rsidRPr="00193318">
        <w:rPr>
          <w:i/>
          <w:sz w:val="22"/>
          <w:szCs w:val="22"/>
        </w:rPr>
        <w:t>’</w:t>
      </w:r>
      <w:r w:rsidR="008D07D7" w:rsidRPr="00193318">
        <w:rPr>
          <w:i/>
          <w:sz w:val="22"/>
          <w:szCs w:val="22"/>
        </w:rPr>
        <w:t>s Automotive</w:t>
      </w:r>
      <w:r w:rsidR="00D368D5" w:rsidRPr="00193318">
        <w:rPr>
          <w:sz w:val="22"/>
          <w:szCs w:val="22"/>
        </w:rPr>
        <w:t>,</w:t>
      </w:r>
      <w:r w:rsidR="0015746C" w:rsidRPr="00193318">
        <w:rPr>
          <w:sz w:val="22"/>
          <w:szCs w:val="22"/>
        </w:rPr>
        <w:t xml:space="preserve"> or Carsurvey.org</w:t>
      </w:r>
      <w:r w:rsidR="00377A1A" w:rsidRPr="00193318">
        <w:rPr>
          <w:sz w:val="22"/>
          <w:szCs w:val="22"/>
        </w:rPr>
        <w:t xml:space="preserve"> and eliminated </w:t>
      </w:r>
      <w:r w:rsidR="00D368D5" w:rsidRPr="00193318">
        <w:rPr>
          <w:sz w:val="22"/>
          <w:szCs w:val="22"/>
        </w:rPr>
        <w:t xml:space="preserve">those </w:t>
      </w:r>
      <w:r w:rsidR="00377A1A" w:rsidRPr="00193318">
        <w:rPr>
          <w:sz w:val="22"/>
          <w:szCs w:val="22"/>
        </w:rPr>
        <w:t xml:space="preserve">vehicles </w:t>
      </w:r>
      <w:r w:rsidR="004F0741" w:rsidRPr="00193318">
        <w:rPr>
          <w:sz w:val="22"/>
          <w:szCs w:val="22"/>
        </w:rPr>
        <w:t>that</w:t>
      </w:r>
      <w:r w:rsidR="00377A1A" w:rsidRPr="00193318">
        <w:rPr>
          <w:sz w:val="22"/>
          <w:szCs w:val="22"/>
        </w:rPr>
        <w:t xml:space="preserve"> had previously been </w:t>
      </w:r>
      <w:r w:rsidR="0065233E" w:rsidRPr="00193318">
        <w:rPr>
          <w:sz w:val="22"/>
          <w:szCs w:val="22"/>
        </w:rPr>
        <w:t>sold</w:t>
      </w:r>
      <w:r w:rsidR="004A2621" w:rsidRPr="00193318">
        <w:rPr>
          <w:sz w:val="22"/>
          <w:szCs w:val="22"/>
        </w:rPr>
        <w:t xml:space="preserve"> </w:t>
      </w:r>
      <w:r w:rsidR="00377A1A" w:rsidRPr="00193318">
        <w:rPr>
          <w:sz w:val="22"/>
          <w:szCs w:val="22"/>
        </w:rPr>
        <w:t xml:space="preserve">in a different marketplace </w:t>
      </w:r>
      <w:r w:rsidR="00F414F5" w:rsidRPr="00193318">
        <w:rPr>
          <w:sz w:val="22"/>
          <w:szCs w:val="22"/>
        </w:rPr>
        <w:t>f</w:t>
      </w:r>
      <w:r w:rsidR="005521D2" w:rsidRPr="00193318">
        <w:rPr>
          <w:sz w:val="22"/>
          <w:szCs w:val="22"/>
        </w:rPr>
        <w:t>o</w:t>
      </w:r>
      <w:r w:rsidR="00F414F5" w:rsidRPr="00193318">
        <w:rPr>
          <w:sz w:val="22"/>
          <w:szCs w:val="22"/>
        </w:rPr>
        <w:t xml:space="preserve">r more than two years. </w:t>
      </w:r>
      <w:r w:rsidR="005A71FB" w:rsidRPr="00193318">
        <w:rPr>
          <w:sz w:val="22"/>
          <w:szCs w:val="22"/>
        </w:rPr>
        <w:t xml:space="preserve">This </w:t>
      </w:r>
      <w:r w:rsidR="004F0741" w:rsidRPr="00193318">
        <w:rPr>
          <w:sz w:val="22"/>
          <w:szCs w:val="22"/>
        </w:rPr>
        <w:t>elimination was made</w:t>
      </w:r>
      <w:r w:rsidR="005A71FB" w:rsidRPr="00193318">
        <w:rPr>
          <w:sz w:val="22"/>
          <w:szCs w:val="22"/>
        </w:rPr>
        <w:t xml:space="preserve"> </w:t>
      </w:r>
      <w:r w:rsidR="00F414F5" w:rsidRPr="00193318">
        <w:rPr>
          <w:sz w:val="22"/>
          <w:szCs w:val="22"/>
        </w:rPr>
        <w:t xml:space="preserve">to ensure that </w:t>
      </w:r>
      <w:r w:rsidR="005A71FB" w:rsidRPr="00193318">
        <w:rPr>
          <w:sz w:val="22"/>
          <w:szCs w:val="22"/>
        </w:rPr>
        <w:t xml:space="preserve">vehicles </w:t>
      </w:r>
      <w:r w:rsidR="00F414F5" w:rsidRPr="00193318">
        <w:rPr>
          <w:sz w:val="22"/>
          <w:szCs w:val="22"/>
        </w:rPr>
        <w:t>in our sample were truly new and did not have the benefit of experiential learning in a different marketplace.</w:t>
      </w:r>
      <w:r w:rsidR="00004F98" w:rsidRPr="00193318">
        <w:rPr>
          <w:sz w:val="22"/>
          <w:szCs w:val="22"/>
        </w:rPr>
        <w:t xml:space="preserve"> </w:t>
      </w:r>
      <w:r w:rsidR="00E212CE" w:rsidRPr="00193318">
        <w:rPr>
          <w:sz w:val="22"/>
          <w:szCs w:val="22"/>
        </w:rPr>
        <w:t xml:space="preserve"> </w:t>
      </w:r>
    </w:p>
    <w:p w14:paraId="5C1ED555" w14:textId="3006120A" w:rsidR="001B500D" w:rsidRPr="00193318" w:rsidRDefault="00A13BE4" w:rsidP="006324E2">
      <w:pPr>
        <w:spacing w:line="480" w:lineRule="auto"/>
        <w:ind w:firstLine="720"/>
        <w:rPr>
          <w:sz w:val="22"/>
          <w:szCs w:val="22"/>
        </w:rPr>
      </w:pPr>
      <w:r w:rsidRPr="00193318">
        <w:rPr>
          <w:sz w:val="22"/>
          <w:szCs w:val="22"/>
        </w:rPr>
        <w:t xml:space="preserve">During the period of our study, </w:t>
      </w:r>
      <w:r w:rsidR="00CD6EF1" w:rsidRPr="00193318">
        <w:rPr>
          <w:sz w:val="22"/>
          <w:szCs w:val="22"/>
        </w:rPr>
        <w:t>454</w:t>
      </w:r>
      <w:r w:rsidR="00515681" w:rsidRPr="00193318">
        <w:rPr>
          <w:sz w:val="22"/>
          <w:szCs w:val="22"/>
        </w:rPr>
        <w:t xml:space="preserve"> </w:t>
      </w:r>
      <w:r w:rsidR="000562D3" w:rsidRPr="00193318">
        <w:rPr>
          <w:sz w:val="22"/>
          <w:szCs w:val="22"/>
        </w:rPr>
        <w:t>new car models were introduced</w:t>
      </w:r>
      <w:r w:rsidR="00CD6EF1" w:rsidRPr="00193318">
        <w:rPr>
          <w:sz w:val="22"/>
          <w:szCs w:val="22"/>
        </w:rPr>
        <w:t xml:space="preserve"> into the four markets</w:t>
      </w:r>
      <w:r w:rsidR="000562D3" w:rsidRPr="00193318">
        <w:rPr>
          <w:sz w:val="22"/>
          <w:szCs w:val="22"/>
        </w:rPr>
        <w:t>.</w:t>
      </w:r>
      <w:r w:rsidR="00CD6EF1" w:rsidRPr="00193318">
        <w:rPr>
          <w:sz w:val="22"/>
          <w:szCs w:val="22"/>
        </w:rPr>
        <w:t xml:space="preserve"> The greatest proportion of these new models w</w:t>
      </w:r>
      <w:r w:rsidR="00316947" w:rsidRPr="00193318">
        <w:rPr>
          <w:sz w:val="22"/>
          <w:szCs w:val="22"/>
        </w:rPr>
        <w:t>as</w:t>
      </w:r>
      <w:r w:rsidR="00CD6EF1" w:rsidRPr="00193318">
        <w:rPr>
          <w:sz w:val="22"/>
          <w:szCs w:val="22"/>
        </w:rPr>
        <w:t xml:space="preserve"> introduced into the </w:t>
      </w:r>
      <w:r w:rsidR="000A1B0A" w:rsidRPr="00193318">
        <w:rPr>
          <w:sz w:val="22"/>
          <w:szCs w:val="22"/>
        </w:rPr>
        <w:t>U.S</w:t>
      </w:r>
      <w:r w:rsidR="00CD6EF1" w:rsidRPr="00193318">
        <w:rPr>
          <w:sz w:val="22"/>
          <w:szCs w:val="22"/>
        </w:rPr>
        <w:t xml:space="preserve"> (</w:t>
      </w:r>
      <w:r w:rsidR="00A63A65" w:rsidRPr="00193318">
        <w:rPr>
          <w:sz w:val="22"/>
          <w:szCs w:val="22"/>
        </w:rPr>
        <w:t>166) followed by</w:t>
      </w:r>
      <w:r w:rsidR="00160A7B" w:rsidRPr="00193318">
        <w:rPr>
          <w:sz w:val="22"/>
          <w:szCs w:val="22"/>
        </w:rPr>
        <w:t xml:space="preserve"> </w:t>
      </w:r>
      <w:r w:rsidR="00A63A65" w:rsidRPr="00193318">
        <w:rPr>
          <w:sz w:val="22"/>
          <w:szCs w:val="22"/>
        </w:rPr>
        <w:t xml:space="preserve">the </w:t>
      </w:r>
      <w:r w:rsidR="000A1B0A" w:rsidRPr="00193318">
        <w:rPr>
          <w:sz w:val="22"/>
          <w:szCs w:val="22"/>
        </w:rPr>
        <w:t>U.K</w:t>
      </w:r>
      <w:r w:rsidR="00A63A65" w:rsidRPr="00193318">
        <w:rPr>
          <w:sz w:val="22"/>
          <w:szCs w:val="22"/>
        </w:rPr>
        <w:t xml:space="preserve"> (139), Australia (90), and Germany (59). </w:t>
      </w:r>
      <w:r w:rsidR="00747D28" w:rsidRPr="00193318">
        <w:rPr>
          <w:sz w:val="22"/>
          <w:szCs w:val="22"/>
        </w:rPr>
        <w:t>When we refer to</w:t>
      </w:r>
      <w:r w:rsidR="00316947" w:rsidRPr="00193318">
        <w:rPr>
          <w:sz w:val="22"/>
          <w:szCs w:val="22"/>
        </w:rPr>
        <w:t xml:space="preserve"> </w:t>
      </w:r>
      <w:r w:rsidR="00747D28" w:rsidRPr="00193318">
        <w:rPr>
          <w:sz w:val="22"/>
          <w:szCs w:val="22"/>
        </w:rPr>
        <w:t xml:space="preserve">new cars released into the marketplace </w:t>
      </w:r>
      <w:r w:rsidR="00316947" w:rsidRPr="00193318">
        <w:rPr>
          <w:sz w:val="22"/>
          <w:szCs w:val="22"/>
        </w:rPr>
        <w:t>these are</w:t>
      </w:r>
      <w:r w:rsidR="00747D28" w:rsidRPr="00193318">
        <w:rPr>
          <w:sz w:val="22"/>
          <w:szCs w:val="22"/>
        </w:rPr>
        <w:t xml:space="preserve"> cars released into the respective market first. </w:t>
      </w:r>
    </w:p>
    <w:p w14:paraId="25EB0CC6" w14:textId="7990CC3B" w:rsidR="00D43177" w:rsidRPr="00193318" w:rsidRDefault="000D72F0" w:rsidP="006324E2">
      <w:pPr>
        <w:rPr>
          <w:b/>
          <w:iCs/>
          <w:sz w:val="22"/>
          <w:szCs w:val="22"/>
        </w:rPr>
      </w:pPr>
      <w:r w:rsidRPr="00193318">
        <w:rPr>
          <w:b/>
          <w:iCs/>
          <w:sz w:val="22"/>
          <w:szCs w:val="22"/>
        </w:rPr>
        <w:t xml:space="preserve">Variable </w:t>
      </w:r>
      <w:r w:rsidR="006324E2">
        <w:rPr>
          <w:b/>
          <w:iCs/>
          <w:sz w:val="22"/>
          <w:szCs w:val="22"/>
        </w:rPr>
        <w:t>o</w:t>
      </w:r>
      <w:r w:rsidRPr="00193318">
        <w:rPr>
          <w:b/>
          <w:iCs/>
          <w:sz w:val="22"/>
          <w:szCs w:val="22"/>
        </w:rPr>
        <w:t>perationalization</w:t>
      </w:r>
    </w:p>
    <w:p w14:paraId="4555DB2D" w14:textId="4B9817B5" w:rsidR="0022472B" w:rsidRPr="00193318" w:rsidRDefault="0022472B" w:rsidP="00193318">
      <w:pPr>
        <w:spacing w:line="480" w:lineRule="auto"/>
        <w:ind w:firstLine="720"/>
        <w:rPr>
          <w:sz w:val="22"/>
          <w:szCs w:val="22"/>
        </w:rPr>
      </w:pPr>
      <w:r w:rsidRPr="00193318">
        <w:rPr>
          <w:sz w:val="22"/>
          <w:szCs w:val="22"/>
        </w:rPr>
        <w:t>A full listing of all variables an</w:t>
      </w:r>
      <w:r w:rsidR="00FD1901" w:rsidRPr="00193318">
        <w:rPr>
          <w:sz w:val="22"/>
          <w:szCs w:val="22"/>
        </w:rPr>
        <w:t xml:space="preserve">d </w:t>
      </w:r>
      <w:r w:rsidR="00160A7B" w:rsidRPr="00193318">
        <w:rPr>
          <w:sz w:val="22"/>
          <w:szCs w:val="22"/>
        </w:rPr>
        <w:t xml:space="preserve">their data </w:t>
      </w:r>
      <w:r w:rsidR="00FD1901" w:rsidRPr="00193318">
        <w:rPr>
          <w:sz w:val="22"/>
          <w:szCs w:val="22"/>
        </w:rPr>
        <w:t xml:space="preserve">sources is provided in Table </w:t>
      </w:r>
      <w:r w:rsidR="007F4AA9" w:rsidRPr="00193318">
        <w:rPr>
          <w:sz w:val="22"/>
          <w:szCs w:val="22"/>
        </w:rPr>
        <w:t xml:space="preserve">2 </w:t>
      </w:r>
      <w:r w:rsidR="00FD1901" w:rsidRPr="00193318">
        <w:rPr>
          <w:sz w:val="22"/>
          <w:szCs w:val="22"/>
        </w:rPr>
        <w:t>and elaborated in the following paragraphs</w:t>
      </w:r>
      <w:r w:rsidRPr="00193318">
        <w:rPr>
          <w:sz w:val="22"/>
          <w:szCs w:val="22"/>
        </w:rPr>
        <w:t xml:space="preserve">. </w:t>
      </w:r>
    </w:p>
    <w:p w14:paraId="5B185781" w14:textId="67222CD6" w:rsidR="00CD3159" w:rsidRPr="00193318" w:rsidRDefault="00D65095" w:rsidP="00DF5913">
      <w:pPr>
        <w:jc w:val="center"/>
        <w:rPr>
          <w:sz w:val="22"/>
          <w:szCs w:val="22"/>
        </w:rPr>
      </w:pPr>
      <w:r w:rsidRPr="00193318">
        <w:rPr>
          <w:sz w:val="22"/>
          <w:szCs w:val="22"/>
        </w:rPr>
        <w:t>&lt;Please i</w:t>
      </w:r>
      <w:r w:rsidR="00FD1901" w:rsidRPr="00193318">
        <w:rPr>
          <w:sz w:val="22"/>
          <w:szCs w:val="22"/>
        </w:rPr>
        <w:t>nsert Table</w:t>
      </w:r>
      <w:r w:rsidR="00263402" w:rsidRPr="00193318">
        <w:rPr>
          <w:sz w:val="22"/>
          <w:szCs w:val="22"/>
        </w:rPr>
        <w:t xml:space="preserve"> </w:t>
      </w:r>
      <w:r w:rsidR="007F4AA9" w:rsidRPr="00193318">
        <w:rPr>
          <w:sz w:val="22"/>
          <w:szCs w:val="22"/>
        </w:rPr>
        <w:t xml:space="preserve">2 </w:t>
      </w:r>
      <w:r w:rsidRPr="00193318">
        <w:rPr>
          <w:sz w:val="22"/>
          <w:szCs w:val="22"/>
        </w:rPr>
        <w:t xml:space="preserve">about </w:t>
      </w:r>
      <w:r w:rsidR="0022472B" w:rsidRPr="00193318">
        <w:rPr>
          <w:sz w:val="22"/>
          <w:szCs w:val="22"/>
        </w:rPr>
        <w:t>here&gt;</w:t>
      </w:r>
    </w:p>
    <w:p w14:paraId="10B7DB2D" w14:textId="3177C6F4" w:rsidR="00D43177" w:rsidRPr="00193318" w:rsidRDefault="00300B3B" w:rsidP="00193318">
      <w:pPr>
        <w:spacing w:before="240" w:line="480" w:lineRule="auto"/>
        <w:rPr>
          <w:bCs/>
          <w:i/>
          <w:sz w:val="22"/>
          <w:szCs w:val="22"/>
        </w:rPr>
      </w:pPr>
      <w:r w:rsidRPr="00193318">
        <w:rPr>
          <w:bCs/>
          <w:i/>
          <w:sz w:val="22"/>
          <w:szCs w:val="22"/>
        </w:rPr>
        <w:t xml:space="preserve">Responsiveness </w:t>
      </w:r>
    </w:p>
    <w:p w14:paraId="028D2EF5" w14:textId="5F1C5434" w:rsidR="00F237C9" w:rsidRPr="00193318" w:rsidRDefault="009E4E9F" w:rsidP="00193318">
      <w:pPr>
        <w:spacing w:line="480" w:lineRule="auto"/>
        <w:ind w:firstLine="720"/>
        <w:rPr>
          <w:sz w:val="22"/>
          <w:szCs w:val="22"/>
        </w:rPr>
      </w:pPr>
      <w:r w:rsidRPr="00193318">
        <w:rPr>
          <w:sz w:val="22"/>
          <w:szCs w:val="22"/>
        </w:rPr>
        <w:t>Follow</w:t>
      </w:r>
      <w:r w:rsidR="00AB0CF6" w:rsidRPr="00193318">
        <w:rPr>
          <w:sz w:val="22"/>
          <w:szCs w:val="22"/>
        </w:rPr>
        <w:t xml:space="preserve">ing prior research (Hora, Bapuji, </w:t>
      </w:r>
      <w:r w:rsidR="00C24BEA" w:rsidRPr="00193318">
        <w:rPr>
          <w:sz w:val="22"/>
          <w:szCs w:val="22"/>
        </w:rPr>
        <w:t>&amp;</w:t>
      </w:r>
      <w:r w:rsidR="00AB0CF6" w:rsidRPr="00193318">
        <w:rPr>
          <w:sz w:val="22"/>
          <w:szCs w:val="22"/>
        </w:rPr>
        <w:t xml:space="preserve"> Roth</w:t>
      </w:r>
      <w:r w:rsidR="00C24BEA" w:rsidRPr="00193318">
        <w:rPr>
          <w:sz w:val="22"/>
          <w:szCs w:val="22"/>
        </w:rPr>
        <w:t>,</w:t>
      </w:r>
      <w:r w:rsidRPr="00193318">
        <w:rPr>
          <w:sz w:val="22"/>
          <w:szCs w:val="22"/>
        </w:rPr>
        <w:t xml:space="preserve"> </w:t>
      </w:r>
      <w:r w:rsidR="009977E1" w:rsidRPr="00193318">
        <w:rPr>
          <w:sz w:val="22"/>
          <w:szCs w:val="22"/>
        </w:rPr>
        <w:t>201</w:t>
      </w:r>
      <w:r w:rsidR="00C9457D" w:rsidRPr="00193318">
        <w:rPr>
          <w:sz w:val="22"/>
          <w:szCs w:val="22"/>
        </w:rPr>
        <w:t>1</w:t>
      </w:r>
      <w:r w:rsidR="005521D2" w:rsidRPr="00193318">
        <w:rPr>
          <w:sz w:val="22"/>
          <w:szCs w:val="22"/>
        </w:rPr>
        <w:t>;</w:t>
      </w:r>
      <w:r w:rsidR="004160DD" w:rsidRPr="00193318">
        <w:rPr>
          <w:sz w:val="22"/>
          <w:szCs w:val="22"/>
        </w:rPr>
        <w:t xml:space="preserve"> Muralidharan</w:t>
      </w:r>
      <w:r w:rsidR="00AB0CF6" w:rsidRPr="00193318">
        <w:rPr>
          <w:sz w:val="22"/>
          <w:szCs w:val="22"/>
        </w:rPr>
        <w:t xml:space="preserve">, Bapuji, </w:t>
      </w:r>
      <w:r w:rsidR="00C24BEA" w:rsidRPr="00193318">
        <w:rPr>
          <w:sz w:val="22"/>
          <w:szCs w:val="22"/>
        </w:rPr>
        <w:t>&amp;</w:t>
      </w:r>
      <w:r w:rsidR="00AB0CF6" w:rsidRPr="00193318">
        <w:rPr>
          <w:sz w:val="22"/>
          <w:szCs w:val="22"/>
        </w:rPr>
        <w:t xml:space="preserve"> Laplume</w:t>
      </w:r>
      <w:r w:rsidR="00C24BEA" w:rsidRPr="00193318">
        <w:rPr>
          <w:sz w:val="22"/>
          <w:szCs w:val="22"/>
        </w:rPr>
        <w:t>,</w:t>
      </w:r>
      <w:r w:rsidR="00AB0CF6" w:rsidRPr="00193318">
        <w:rPr>
          <w:sz w:val="22"/>
          <w:szCs w:val="22"/>
        </w:rPr>
        <w:t xml:space="preserve"> </w:t>
      </w:r>
      <w:r w:rsidR="004160DD" w:rsidRPr="00193318">
        <w:rPr>
          <w:sz w:val="22"/>
          <w:szCs w:val="22"/>
        </w:rPr>
        <w:t>2015</w:t>
      </w:r>
      <w:r w:rsidRPr="00193318">
        <w:rPr>
          <w:sz w:val="22"/>
          <w:szCs w:val="22"/>
        </w:rPr>
        <w:t xml:space="preserve">), we operationalized responsiveness as the time between the product </w:t>
      </w:r>
      <w:r w:rsidR="00976C10" w:rsidRPr="00193318">
        <w:rPr>
          <w:sz w:val="22"/>
          <w:szCs w:val="22"/>
        </w:rPr>
        <w:t xml:space="preserve">release </w:t>
      </w:r>
      <w:r w:rsidRPr="00193318">
        <w:rPr>
          <w:sz w:val="22"/>
          <w:szCs w:val="22"/>
        </w:rPr>
        <w:t>and the recall, calculated in months.</w:t>
      </w:r>
      <w:r w:rsidR="005F0626" w:rsidRPr="00193318">
        <w:rPr>
          <w:sz w:val="22"/>
          <w:szCs w:val="22"/>
        </w:rPr>
        <w:t xml:space="preserve"> </w:t>
      </w:r>
      <w:r w:rsidR="00C51B58" w:rsidRPr="00193318">
        <w:rPr>
          <w:sz w:val="22"/>
          <w:szCs w:val="22"/>
        </w:rPr>
        <w:t>Ideally,</w:t>
      </w:r>
      <w:r w:rsidR="005F0626" w:rsidRPr="00193318">
        <w:rPr>
          <w:sz w:val="22"/>
          <w:szCs w:val="22"/>
        </w:rPr>
        <w:t xml:space="preserve"> responsiveness should be measured as the time taken by a company to recall a product after it became aware of the problem</w:t>
      </w:r>
      <w:r w:rsidR="005077E9" w:rsidRPr="00193318">
        <w:rPr>
          <w:sz w:val="22"/>
          <w:szCs w:val="22"/>
        </w:rPr>
        <w:t>, but,</w:t>
      </w:r>
      <w:r w:rsidR="005F0626" w:rsidRPr="00193318">
        <w:rPr>
          <w:sz w:val="22"/>
          <w:szCs w:val="22"/>
        </w:rPr>
        <w:t xml:space="preserve"> given the legal liabilities, firms do not reveal when they first became aware of the problem. In a few highly publicized and scrutinized cases, </w:t>
      </w:r>
      <w:r w:rsidR="0065233E" w:rsidRPr="00193318">
        <w:rPr>
          <w:sz w:val="22"/>
          <w:szCs w:val="22"/>
        </w:rPr>
        <w:t>this information might become available as a result of media investigations or regulatory penalties</w:t>
      </w:r>
      <w:r w:rsidR="005077E9" w:rsidRPr="00193318">
        <w:rPr>
          <w:sz w:val="22"/>
          <w:szCs w:val="22"/>
        </w:rPr>
        <w:t>, b</w:t>
      </w:r>
      <w:r w:rsidR="005F0626" w:rsidRPr="00193318">
        <w:rPr>
          <w:sz w:val="22"/>
          <w:szCs w:val="22"/>
        </w:rPr>
        <w:t xml:space="preserve">ut </w:t>
      </w:r>
      <w:r w:rsidR="005077E9" w:rsidRPr="00193318">
        <w:rPr>
          <w:sz w:val="22"/>
          <w:szCs w:val="22"/>
        </w:rPr>
        <w:t xml:space="preserve">firms often contest – and rarely confirm – </w:t>
      </w:r>
      <w:r w:rsidR="005F0626" w:rsidRPr="00193318">
        <w:rPr>
          <w:sz w:val="22"/>
          <w:szCs w:val="22"/>
        </w:rPr>
        <w:t>such information</w:t>
      </w:r>
      <w:r w:rsidR="00E94424" w:rsidRPr="00193318">
        <w:rPr>
          <w:sz w:val="22"/>
          <w:szCs w:val="22"/>
        </w:rPr>
        <w:t>.</w:t>
      </w:r>
      <w:r w:rsidR="00F237C9" w:rsidRPr="00193318">
        <w:rPr>
          <w:sz w:val="22"/>
          <w:szCs w:val="22"/>
        </w:rPr>
        <w:t xml:space="preserve"> </w:t>
      </w:r>
      <w:r w:rsidR="005F0626" w:rsidRPr="00193318">
        <w:rPr>
          <w:sz w:val="22"/>
          <w:szCs w:val="22"/>
        </w:rPr>
        <w:t xml:space="preserve">Given these constraints, </w:t>
      </w:r>
      <w:r w:rsidR="00E94424" w:rsidRPr="00193318">
        <w:rPr>
          <w:sz w:val="22"/>
          <w:szCs w:val="22"/>
        </w:rPr>
        <w:t>we used</w:t>
      </w:r>
      <w:r w:rsidR="005F0626" w:rsidRPr="00193318">
        <w:rPr>
          <w:sz w:val="22"/>
          <w:szCs w:val="22"/>
        </w:rPr>
        <w:t xml:space="preserve"> the best proxy </w:t>
      </w:r>
      <w:r w:rsidR="00F237C9" w:rsidRPr="00193318">
        <w:rPr>
          <w:sz w:val="22"/>
          <w:szCs w:val="22"/>
        </w:rPr>
        <w:t>available to researchers at this point who study recalls using archival data</w:t>
      </w:r>
      <w:r w:rsidR="00655723" w:rsidRPr="00193318">
        <w:rPr>
          <w:sz w:val="22"/>
          <w:szCs w:val="22"/>
        </w:rPr>
        <w:t>,</w:t>
      </w:r>
      <w:r w:rsidR="00976C10" w:rsidRPr="00193318">
        <w:rPr>
          <w:sz w:val="22"/>
          <w:szCs w:val="22"/>
        </w:rPr>
        <w:t xml:space="preserve"> which is the date that the product was released</w:t>
      </w:r>
      <w:r w:rsidR="00655723" w:rsidRPr="00193318">
        <w:rPr>
          <w:sz w:val="22"/>
          <w:szCs w:val="22"/>
        </w:rPr>
        <w:t xml:space="preserve"> and the date on which it was recalled</w:t>
      </w:r>
      <w:r w:rsidR="00F237C9" w:rsidRPr="00193318">
        <w:rPr>
          <w:sz w:val="22"/>
          <w:szCs w:val="22"/>
        </w:rPr>
        <w:t>.</w:t>
      </w:r>
    </w:p>
    <w:p w14:paraId="7004015B" w14:textId="51898111" w:rsidR="00655723" w:rsidRPr="00193318" w:rsidRDefault="009E4E9F" w:rsidP="00193318">
      <w:pPr>
        <w:spacing w:line="480" w:lineRule="auto"/>
        <w:ind w:firstLine="720"/>
        <w:rPr>
          <w:bCs/>
          <w:i/>
          <w:sz w:val="22"/>
          <w:szCs w:val="22"/>
        </w:rPr>
      </w:pPr>
      <w:r w:rsidRPr="00193318">
        <w:rPr>
          <w:sz w:val="22"/>
          <w:szCs w:val="22"/>
        </w:rPr>
        <w:t xml:space="preserve">To calculate this measure, we required the time the automobile was first introduced and the time it was recalled (if it was ever recalled). </w:t>
      </w:r>
      <w:r w:rsidR="00E0002F" w:rsidRPr="00193318">
        <w:rPr>
          <w:sz w:val="22"/>
          <w:szCs w:val="22"/>
        </w:rPr>
        <w:t>Only in the U.K was</w:t>
      </w:r>
      <w:r w:rsidR="00976C10" w:rsidRPr="00193318">
        <w:rPr>
          <w:sz w:val="22"/>
          <w:szCs w:val="22"/>
        </w:rPr>
        <w:t xml:space="preserve"> the market release date</w:t>
      </w:r>
      <w:r w:rsidR="00E0002F" w:rsidRPr="00193318">
        <w:rPr>
          <w:sz w:val="22"/>
          <w:szCs w:val="22"/>
        </w:rPr>
        <w:t xml:space="preserve"> publicly available. </w:t>
      </w:r>
      <w:r w:rsidR="00E0002F" w:rsidRPr="00193318">
        <w:rPr>
          <w:sz w:val="22"/>
          <w:szCs w:val="22"/>
        </w:rPr>
        <w:lastRenderedPageBreak/>
        <w:t>F</w:t>
      </w:r>
      <w:r w:rsidRPr="00193318">
        <w:rPr>
          <w:sz w:val="22"/>
          <w:szCs w:val="22"/>
        </w:rPr>
        <w:t xml:space="preserve">or models sold in the </w:t>
      </w:r>
      <w:r w:rsidR="0027742E" w:rsidRPr="00193318">
        <w:rPr>
          <w:sz w:val="22"/>
          <w:szCs w:val="22"/>
        </w:rPr>
        <w:t>U</w:t>
      </w:r>
      <w:r w:rsidR="00EE577A" w:rsidRPr="00193318">
        <w:rPr>
          <w:sz w:val="22"/>
          <w:szCs w:val="22"/>
        </w:rPr>
        <w:t xml:space="preserve">nited </w:t>
      </w:r>
      <w:r w:rsidR="0027742E" w:rsidRPr="00193318">
        <w:rPr>
          <w:sz w:val="22"/>
          <w:szCs w:val="22"/>
        </w:rPr>
        <w:t>S</w:t>
      </w:r>
      <w:r w:rsidR="00EE577A" w:rsidRPr="00193318">
        <w:rPr>
          <w:sz w:val="22"/>
          <w:szCs w:val="22"/>
        </w:rPr>
        <w:t>ates</w:t>
      </w:r>
      <w:r w:rsidRPr="00193318">
        <w:rPr>
          <w:sz w:val="22"/>
          <w:szCs w:val="22"/>
        </w:rPr>
        <w:t xml:space="preserve">, only the recall date was available from the NHTSA. Hence, in order to obtain the date the </w:t>
      </w:r>
      <w:r w:rsidR="00EE577A" w:rsidRPr="00193318">
        <w:rPr>
          <w:sz w:val="22"/>
          <w:szCs w:val="22"/>
        </w:rPr>
        <w:t>U.S. models</w:t>
      </w:r>
      <w:r w:rsidRPr="00193318">
        <w:rPr>
          <w:sz w:val="22"/>
          <w:szCs w:val="22"/>
        </w:rPr>
        <w:t xml:space="preserve"> were first </w:t>
      </w:r>
      <w:r w:rsidR="00976C10" w:rsidRPr="00193318">
        <w:rPr>
          <w:sz w:val="22"/>
          <w:szCs w:val="22"/>
        </w:rPr>
        <w:t>released</w:t>
      </w:r>
      <w:r w:rsidR="00EE577A" w:rsidRPr="00193318">
        <w:rPr>
          <w:sz w:val="22"/>
          <w:szCs w:val="22"/>
        </w:rPr>
        <w:t>,</w:t>
      </w:r>
      <w:r w:rsidRPr="00193318">
        <w:rPr>
          <w:sz w:val="22"/>
          <w:szCs w:val="22"/>
        </w:rPr>
        <w:t xml:space="preserve"> we conducted a search through the following sources: </w:t>
      </w:r>
      <w:r w:rsidRPr="00193318">
        <w:rPr>
          <w:i/>
          <w:sz w:val="22"/>
          <w:szCs w:val="22"/>
        </w:rPr>
        <w:t>Car and Driver Magazine</w:t>
      </w:r>
      <w:r w:rsidRPr="00193318">
        <w:rPr>
          <w:sz w:val="22"/>
          <w:szCs w:val="22"/>
        </w:rPr>
        <w:t xml:space="preserve">, </w:t>
      </w:r>
      <w:r w:rsidRPr="00193318">
        <w:rPr>
          <w:i/>
          <w:sz w:val="22"/>
          <w:szCs w:val="22"/>
        </w:rPr>
        <w:t>The Automotive News</w:t>
      </w:r>
      <w:r w:rsidRPr="00193318">
        <w:rPr>
          <w:sz w:val="22"/>
          <w:szCs w:val="22"/>
        </w:rPr>
        <w:t xml:space="preserve">, </w:t>
      </w:r>
      <w:r w:rsidRPr="00193318">
        <w:rPr>
          <w:i/>
          <w:sz w:val="22"/>
          <w:szCs w:val="22"/>
        </w:rPr>
        <w:t>Ward’s Automotive Database</w:t>
      </w:r>
      <w:r w:rsidRPr="00193318">
        <w:rPr>
          <w:sz w:val="22"/>
          <w:szCs w:val="22"/>
        </w:rPr>
        <w:t xml:space="preserve">, and, in one case (Ford), </w:t>
      </w:r>
      <w:r w:rsidR="00E94424" w:rsidRPr="00193318">
        <w:rPr>
          <w:sz w:val="22"/>
          <w:szCs w:val="22"/>
        </w:rPr>
        <w:t xml:space="preserve">from </w:t>
      </w:r>
      <w:r w:rsidRPr="00193318">
        <w:rPr>
          <w:sz w:val="22"/>
          <w:szCs w:val="22"/>
        </w:rPr>
        <w:t>the manufacturer itself.</w:t>
      </w:r>
      <w:r w:rsidR="005F0626" w:rsidRPr="00193318">
        <w:rPr>
          <w:sz w:val="22"/>
          <w:szCs w:val="22"/>
        </w:rPr>
        <w:t xml:space="preserve"> </w:t>
      </w:r>
      <w:r w:rsidRPr="00193318">
        <w:rPr>
          <w:sz w:val="22"/>
          <w:szCs w:val="22"/>
        </w:rPr>
        <w:t>This information was available largely because the automaker</w:t>
      </w:r>
      <w:r w:rsidR="0065233E" w:rsidRPr="00193318">
        <w:rPr>
          <w:sz w:val="22"/>
          <w:szCs w:val="22"/>
        </w:rPr>
        <w:t>s</w:t>
      </w:r>
      <w:r w:rsidRPr="00193318">
        <w:rPr>
          <w:sz w:val="22"/>
          <w:szCs w:val="22"/>
        </w:rPr>
        <w:t xml:space="preserve"> announce</w:t>
      </w:r>
      <w:r w:rsidR="0065233E" w:rsidRPr="00193318">
        <w:rPr>
          <w:sz w:val="22"/>
          <w:szCs w:val="22"/>
        </w:rPr>
        <w:t>d</w:t>
      </w:r>
      <w:r w:rsidRPr="00193318">
        <w:rPr>
          <w:sz w:val="22"/>
          <w:szCs w:val="22"/>
        </w:rPr>
        <w:t xml:space="preserve"> </w:t>
      </w:r>
      <w:r w:rsidR="0065233E" w:rsidRPr="00193318">
        <w:rPr>
          <w:sz w:val="22"/>
          <w:szCs w:val="22"/>
        </w:rPr>
        <w:t xml:space="preserve">their </w:t>
      </w:r>
      <w:r w:rsidRPr="00193318">
        <w:rPr>
          <w:sz w:val="22"/>
          <w:szCs w:val="22"/>
        </w:rPr>
        <w:t>production plans before the product launch</w:t>
      </w:r>
      <w:r w:rsidR="0065233E" w:rsidRPr="00193318">
        <w:rPr>
          <w:sz w:val="22"/>
          <w:szCs w:val="22"/>
        </w:rPr>
        <w:t>es</w:t>
      </w:r>
      <w:r w:rsidRPr="00193318">
        <w:rPr>
          <w:sz w:val="22"/>
          <w:szCs w:val="22"/>
        </w:rPr>
        <w:t>.</w:t>
      </w:r>
      <w:r w:rsidR="0015746C" w:rsidRPr="00193318">
        <w:rPr>
          <w:sz w:val="22"/>
          <w:szCs w:val="22"/>
        </w:rPr>
        <w:t xml:space="preserve"> For both the German and Australian markets</w:t>
      </w:r>
      <w:r w:rsidR="00655723" w:rsidRPr="00193318">
        <w:rPr>
          <w:sz w:val="22"/>
          <w:szCs w:val="22"/>
        </w:rPr>
        <w:t>,</w:t>
      </w:r>
      <w:r w:rsidR="0015746C" w:rsidRPr="00193318">
        <w:rPr>
          <w:sz w:val="22"/>
          <w:szCs w:val="22"/>
        </w:rPr>
        <w:t xml:space="preserve"> we were unable to find the time that the vehicles were first released into the marketplace. </w:t>
      </w:r>
      <w:r w:rsidR="00F237C9" w:rsidRPr="00193318">
        <w:rPr>
          <w:sz w:val="22"/>
          <w:szCs w:val="22"/>
        </w:rPr>
        <w:t>Therefore</w:t>
      </w:r>
      <w:r w:rsidR="0015746C" w:rsidRPr="00193318">
        <w:rPr>
          <w:sz w:val="22"/>
          <w:szCs w:val="22"/>
        </w:rPr>
        <w:t>, we used the date of the largest auto-show in Germany (Munich Auto-Show, September)</w:t>
      </w:r>
      <w:r w:rsidRPr="00193318">
        <w:rPr>
          <w:sz w:val="22"/>
          <w:szCs w:val="22"/>
        </w:rPr>
        <w:t xml:space="preserve"> </w:t>
      </w:r>
      <w:r w:rsidR="0015746C" w:rsidRPr="00193318">
        <w:rPr>
          <w:sz w:val="22"/>
          <w:szCs w:val="22"/>
        </w:rPr>
        <w:t xml:space="preserve">as the date that the car was first introduced into Germany. We used the </w:t>
      </w:r>
      <w:r w:rsidR="00F42E7B" w:rsidRPr="00193318">
        <w:rPr>
          <w:sz w:val="22"/>
          <w:szCs w:val="22"/>
        </w:rPr>
        <w:t>Sydney Auto-Show (October) as the date that the vehicle was introduced into the Australian market. The usage of major auto shows as the first point of introduction for vehicles was based on the industry practice of using auto-shows to introduce new models</w:t>
      </w:r>
      <w:r w:rsidR="002F5115" w:rsidRPr="00193318">
        <w:rPr>
          <w:sz w:val="22"/>
          <w:szCs w:val="22"/>
        </w:rPr>
        <w:t xml:space="preserve"> and new technology</w:t>
      </w:r>
      <w:r w:rsidR="00F42E7B" w:rsidRPr="00193318">
        <w:rPr>
          <w:sz w:val="22"/>
          <w:szCs w:val="22"/>
        </w:rPr>
        <w:t xml:space="preserve"> to the public (</w:t>
      </w:r>
      <w:r w:rsidR="002F5115" w:rsidRPr="00193318">
        <w:rPr>
          <w:sz w:val="22"/>
          <w:szCs w:val="22"/>
        </w:rPr>
        <w:t>Kane, 2013</w:t>
      </w:r>
      <w:r w:rsidR="00F42E7B" w:rsidRPr="00193318">
        <w:rPr>
          <w:sz w:val="22"/>
          <w:szCs w:val="22"/>
        </w:rPr>
        <w:t xml:space="preserve">). </w:t>
      </w:r>
      <w:r w:rsidRPr="00193318">
        <w:rPr>
          <w:sz w:val="22"/>
          <w:szCs w:val="22"/>
        </w:rPr>
        <w:t>It must be noted that we also research</w:t>
      </w:r>
      <w:r w:rsidR="00441482" w:rsidRPr="00193318">
        <w:rPr>
          <w:sz w:val="22"/>
          <w:szCs w:val="22"/>
        </w:rPr>
        <w:t>ed</w:t>
      </w:r>
      <w:r w:rsidRPr="00193318">
        <w:rPr>
          <w:sz w:val="22"/>
          <w:szCs w:val="22"/>
        </w:rPr>
        <w:t xml:space="preserve"> the date that the right-censored vehicles in our analysis were first </w:t>
      </w:r>
      <w:r w:rsidR="00976C10" w:rsidRPr="00193318">
        <w:rPr>
          <w:sz w:val="22"/>
          <w:szCs w:val="22"/>
        </w:rPr>
        <w:t xml:space="preserve">released </w:t>
      </w:r>
      <w:r w:rsidRPr="00193318">
        <w:rPr>
          <w:sz w:val="22"/>
          <w:szCs w:val="22"/>
        </w:rPr>
        <w:t xml:space="preserve">in </w:t>
      </w:r>
      <w:r w:rsidR="000158B5" w:rsidRPr="00193318">
        <w:rPr>
          <w:sz w:val="22"/>
          <w:szCs w:val="22"/>
        </w:rPr>
        <w:t>each country.</w:t>
      </w:r>
      <w:r w:rsidR="0015746C" w:rsidRPr="00193318">
        <w:rPr>
          <w:sz w:val="22"/>
          <w:szCs w:val="22"/>
        </w:rPr>
        <w:t xml:space="preserve"> Right censoring refers to a situation where the vehicle was manufactured within our timeline (2003 – 2019) but information on whether it was recalled or not was not available because we ended our data collection before the recall may have occurred. For example, a vehicle may have been introduced in the U.K in 2018 but </w:t>
      </w:r>
      <w:r w:rsidR="00F237C9" w:rsidRPr="00193318">
        <w:rPr>
          <w:sz w:val="22"/>
          <w:szCs w:val="22"/>
        </w:rPr>
        <w:t xml:space="preserve">since our data collection </w:t>
      </w:r>
      <w:r w:rsidR="0015746C" w:rsidRPr="00193318">
        <w:rPr>
          <w:sz w:val="22"/>
          <w:szCs w:val="22"/>
        </w:rPr>
        <w:t xml:space="preserve">ended </w:t>
      </w:r>
      <w:r w:rsidR="00F237C9" w:rsidRPr="00193318">
        <w:rPr>
          <w:sz w:val="22"/>
          <w:szCs w:val="22"/>
        </w:rPr>
        <w:t xml:space="preserve">in </w:t>
      </w:r>
      <w:r w:rsidR="0015746C" w:rsidRPr="00193318">
        <w:rPr>
          <w:sz w:val="22"/>
          <w:szCs w:val="22"/>
        </w:rPr>
        <w:t>2019</w:t>
      </w:r>
      <w:r w:rsidR="00F237C9" w:rsidRPr="00193318">
        <w:rPr>
          <w:sz w:val="22"/>
          <w:szCs w:val="22"/>
        </w:rPr>
        <w:t>,</w:t>
      </w:r>
      <w:r w:rsidR="0015746C" w:rsidRPr="00193318">
        <w:rPr>
          <w:sz w:val="22"/>
          <w:szCs w:val="22"/>
        </w:rPr>
        <w:t xml:space="preserve"> we would not have captured any recalls that occurred after 2019.</w:t>
      </w:r>
      <w:r w:rsidR="00BD3DCC" w:rsidRPr="00193318">
        <w:rPr>
          <w:sz w:val="22"/>
          <w:szCs w:val="22"/>
        </w:rPr>
        <w:t xml:space="preserve"> The hazard model provided a weighting to a product that was included in our analysis but was only added to our sample close to the end. The weighting would give these vehicles less credence during the period of analysis because they did not have enough time to experience the event. </w:t>
      </w:r>
      <w:r w:rsidRPr="00193318">
        <w:rPr>
          <w:sz w:val="22"/>
          <w:szCs w:val="22"/>
        </w:rPr>
        <w:t xml:space="preserve">In the </w:t>
      </w:r>
      <w:r w:rsidR="000A1B0A" w:rsidRPr="00193318">
        <w:rPr>
          <w:sz w:val="22"/>
          <w:szCs w:val="22"/>
        </w:rPr>
        <w:t>U.K</w:t>
      </w:r>
      <w:r w:rsidRPr="00193318">
        <w:rPr>
          <w:sz w:val="22"/>
          <w:szCs w:val="22"/>
        </w:rPr>
        <w:t xml:space="preserve">, </w:t>
      </w:r>
      <w:r w:rsidR="00976C10" w:rsidRPr="00193318">
        <w:rPr>
          <w:sz w:val="22"/>
          <w:szCs w:val="22"/>
        </w:rPr>
        <w:t xml:space="preserve">information on which cars were introduced into the marketplace </w:t>
      </w:r>
      <w:r w:rsidRPr="00193318">
        <w:rPr>
          <w:sz w:val="22"/>
          <w:szCs w:val="22"/>
        </w:rPr>
        <w:t xml:space="preserve">was available through </w:t>
      </w:r>
      <w:r w:rsidRPr="00193318">
        <w:rPr>
          <w:i/>
          <w:sz w:val="22"/>
          <w:szCs w:val="22"/>
        </w:rPr>
        <w:t>Parker’s Automotive</w:t>
      </w:r>
      <w:r w:rsidRPr="00193318">
        <w:rPr>
          <w:sz w:val="22"/>
          <w:szCs w:val="22"/>
        </w:rPr>
        <w:t xml:space="preserve">, and in the </w:t>
      </w:r>
      <w:r w:rsidR="000A1B0A" w:rsidRPr="00193318">
        <w:rPr>
          <w:sz w:val="22"/>
          <w:szCs w:val="22"/>
        </w:rPr>
        <w:t>U.S</w:t>
      </w:r>
      <w:r w:rsidRPr="00193318">
        <w:rPr>
          <w:sz w:val="22"/>
          <w:szCs w:val="22"/>
        </w:rPr>
        <w:t>, this information was obtained from one or more of the sources listed above.</w:t>
      </w:r>
    </w:p>
    <w:p w14:paraId="3569A4B1" w14:textId="2F19133E" w:rsidR="00D43177" w:rsidRPr="00193318" w:rsidRDefault="002003A4" w:rsidP="006B4727">
      <w:pPr>
        <w:spacing w:line="480" w:lineRule="auto"/>
        <w:rPr>
          <w:bCs/>
          <w:i/>
          <w:sz w:val="22"/>
          <w:szCs w:val="22"/>
        </w:rPr>
      </w:pPr>
      <w:r w:rsidRPr="00193318">
        <w:rPr>
          <w:bCs/>
          <w:i/>
          <w:sz w:val="22"/>
          <w:szCs w:val="22"/>
        </w:rPr>
        <w:t>Standardization</w:t>
      </w:r>
      <w:r w:rsidR="000D72F0" w:rsidRPr="00193318">
        <w:rPr>
          <w:bCs/>
          <w:i/>
          <w:sz w:val="22"/>
          <w:szCs w:val="22"/>
        </w:rPr>
        <w:t xml:space="preserve"> </w:t>
      </w:r>
    </w:p>
    <w:p w14:paraId="30DFF6C3" w14:textId="506548DB" w:rsidR="00CF1547" w:rsidRPr="006B4727" w:rsidRDefault="000D72F0" w:rsidP="006B4727">
      <w:pPr>
        <w:spacing w:line="480" w:lineRule="auto"/>
        <w:ind w:firstLine="720"/>
        <w:rPr>
          <w:sz w:val="22"/>
          <w:szCs w:val="22"/>
        </w:rPr>
      </w:pPr>
      <w:r w:rsidRPr="006B4727">
        <w:rPr>
          <w:sz w:val="22"/>
          <w:szCs w:val="22"/>
        </w:rPr>
        <w:t xml:space="preserve">We created a measure of standardization by comparing the specifications of each model for sale in </w:t>
      </w:r>
      <w:r w:rsidR="007042E3" w:rsidRPr="006B4727">
        <w:rPr>
          <w:sz w:val="22"/>
          <w:szCs w:val="22"/>
        </w:rPr>
        <w:t xml:space="preserve">each </w:t>
      </w:r>
      <w:r w:rsidRPr="006B4727">
        <w:rPr>
          <w:sz w:val="22"/>
          <w:szCs w:val="22"/>
        </w:rPr>
        <w:t>countr</w:t>
      </w:r>
      <w:r w:rsidR="007042E3" w:rsidRPr="006B4727">
        <w:rPr>
          <w:sz w:val="22"/>
          <w:szCs w:val="22"/>
        </w:rPr>
        <w:t xml:space="preserve">y. </w:t>
      </w:r>
      <w:r w:rsidR="00CF1547" w:rsidRPr="006B4727">
        <w:rPr>
          <w:sz w:val="22"/>
          <w:szCs w:val="22"/>
        </w:rPr>
        <w:t xml:space="preserve">In doing </w:t>
      </w:r>
      <w:r w:rsidR="00964481" w:rsidRPr="006B4727">
        <w:rPr>
          <w:sz w:val="22"/>
          <w:szCs w:val="22"/>
        </w:rPr>
        <w:t>so</w:t>
      </w:r>
      <w:r w:rsidR="00CF1547" w:rsidRPr="006B4727">
        <w:rPr>
          <w:sz w:val="22"/>
          <w:szCs w:val="22"/>
        </w:rPr>
        <w:t xml:space="preserve">, we </w:t>
      </w:r>
      <w:r w:rsidR="00263402" w:rsidRPr="006B4727">
        <w:rPr>
          <w:sz w:val="22"/>
          <w:szCs w:val="22"/>
        </w:rPr>
        <w:t xml:space="preserve">followed </w:t>
      </w:r>
      <w:r w:rsidR="00CF1547" w:rsidRPr="006B4727">
        <w:rPr>
          <w:sz w:val="22"/>
          <w:szCs w:val="22"/>
        </w:rPr>
        <w:t xml:space="preserve">prior </w:t>
      </w:r>
      <w:r w:rsidR="00263402" w:rsidRPr="006B4727">
        <w:rPr>
          <w:sz w:val="22"/>
          <w:szCs w:val="22"/>
        </w:rPr>
        <w:t xml:space="preserve">research </w:t>
      </w:r>
      <w:r w:rsidR="00CF1547" w:rsidRPr="006B4727">
        <w:rPr>
          <w:sz w:val="22"/>
          <w:szCs w:val="22"/>
        </w:rPr>
        <w:t>(Dobrev</w:t>
      </w:r>
      <w:r w:rsidR="00AB0CF6" w:rsidRPr="006B4727">
        <w:rPr>
          <w:sz w:val="22"/>
          <w:szCs w:val="22"/>
        </w:rPr>
        <w:t xml:space="preserve">, Kim, </w:t>
      </w:r>
      <w:r w:rsidR="00C24BEA" w:rsidRPr="006B4727">
        <w:rPr>
          <w:sz w:val="22"/>
          <w:szCs w:val="22"/>
        </w:rPr>
        <w:t>&amp;</w:t>
      </w:r>
      <w:r w:rsidR="00AB0CF6" w:rsidRPr="006B4727">
        <w:rPr>
          <w:sz w:val="22"/>
          <w:szCs w:val="22"/>
        </w:rPr>
        <w:t xml:space="preserve"> Carroll</w:t>
      </w:r>
      <w:r w:rsidR="00C24BEA" w:rsidRPr="006B4727">
        <w:rPr>
          <w:sz w:val="22"/>
          <w:szCs w:val="22"/>
        </w:rPr>
        <w:t>,</w:t>
      </w:r>
      <w:r w:rsidR="00CF1547" w:rsidRPr="006B4727">
        <w:rPr>
          <w:sz w:val="22"/>
          <w:szCs w:val="22"/>
        </w:rPr>
        <w:t xml:space="preserve"> 2002) and compared two critical components: 1) the physical size of the vehicle, and 2) its engine capacity. Differences in the size of the vehicle or in its engine capacity would indicate that the vehicle was designed differently and </w:t>
      </w:r>
      <w:r w:rsidR="00CF1547" w:rsidRPr="006B4727">
        <w:rPr>
          <w:sz w:val="22"/>
          <w:szCs w:val="22"/>
        </w:rPr>
        <w:lastRenderedPageBreak/>
        <w:t>may even occupy a different sales category.</w:t>
      </w:r>
      <w:r w:rsidR="00F643E5" w:rsidRPr="006B4727">
        <w:rPr>
          <w:sz w:val="22"/>
          <w:szCs w:val="22"/>
        </w:rPr>
        <w:t xml:space="preserve"> This was only done for vehicles in the U.S and U.K marketplace. We were unable to verify the physical size of the vehicles in the German and Australian markets</w:t>
      </w:r>
      <w:r w:rsidR="007042E3" w:rsidRPr="006B4727">
        <w:rPr>
          <w:sz w:val="22"/>
          <w:szCs w:val="22"/>
        </w:rPr>
        <w:t xml:space="preserve"> due to data limitations</w:t>
      </w:r>
      <w:r w:rsidR="00655723" w:rsidRPr="006B4727">
        <w:rPr>
          <w:sz w:val="22"/>
          <w:szCs w:val="22"/>
        </w:rPr>
        <w:t>. Therefore,</w:t>
      </w:r>
      <w:r w:rsidR="003B76C3" w:rsidRPr="006B4727">
        <w:rPr>
          <w:sz w:val="22"/>
          <w:szCs w:val="22"/>
        </w:rPr>
        <w:t xml:space="preserve"> we did not compare </w:t>
      </w:r>
      <w:r w:rsidR="00655723" w:rsidRPr="006B4727">
        <w:rPr>
          <w:sz w:val="22"/>
          <w:szCs w:val="22"/>
        </w:rPr>
        <w:t xml:space="preserve">standardization </w:t>
      </w:r>
      <w:r w:rsidR="003B76C3" w:rsidRPr="006B4727">
        <w:rPr>
          <w:sz w:val="22"/>
          <w:szCs w:val="22"/>
        </w:rPr>
        <w:t>in these two markets</w:t>
      </w:r>
      <w:r w:rsidR="00655723" w:rsidRPr="006B4727">
        <w:rPr>
          <w:sz w:val="22"/>
          <w:szCs w:val="22"/>
        </w:rPr>
        <w:t xml:space="preserve"> and thus, tested hypothesis 2 only on two markets. </w:t>
      </w:r>
    </w:p>
    <w:p w14:paraId="1B0A763A" w14:textId="68CD97E4" w:rsidR="001B500D" w:rsidRPr="006B4727" w:rsidRDefault="008717EA" w:rsidP="006324E2">
      <w:pPr>
        <w:spacing w:line="480" w:lineRule="auto"/>
        <w:ind w:firstLine="720"/>
        <w:rPr>
          <w:sz w:val="22"/>
          <w:szCs w:val="22"/>
        </w:rPr>
      </w:pPr>
      <w:r w:rsidRPr="006B4727">
        <w:rPr>
          <w:sz w:val="22"/>
          <w:szCs w:val="22"/>
        </w:rPr>
        <w:t xml:space="preserve">To </w:t>
      </w:r>
      <w:r w:rsidR="00263402" w:rsidRPr="006B4727">
        <w:rPr>
          <w:sz w:val="22"/>
          <w:szCs w:val="22"/>
        </w:rPr>
        <w:t xml:space="preserve">verify </w:t>
      </w:r>
      <w:r w:rsidRPr="006B4727">
        <w:rPr>
          <w:sz w:val="22"/>
          <w:szCs w:val="22"/>
        </w:rPr>
        <w:t>that the models were unique to each marketplace</w:t>
      </w:r>
      <w:r w:rsidR="007042E3" w:rsidRPr="006B4727">
        <w:rPr>
          <w:sz w:val="22"/>
          <w:szCs w:val="22"/>
        </w:rPr>
        <w:t xml:space="preserve"> and did not benefit from learning by operating in countries not in our sample</w:t>
      </w:r>
      <w:r w:rsidRPr="006B4727">
        <w:rPr>
          <w:sz w:val="22"/>
          <w:szCs w:val="22"/>
        </w:rPr>
        <w:t xml:space="preserve">, we </w:t>
      </w:r>
      <w:proofErr w:type="spellStart"/>
      <w:r w:rsidRPr="006B4727">
        <w:rPr>
          <w:sz w:val="22"/>
          <w:szCs w:val="22"/>
        </w:rPr>
        <w:t>analyzed</w:t>
      </w:r>
      <w:proofErr w:type="spellEnd"/>
      <w:r w:rsidRPr="006B4727">
        <w:rPr>
          <w:sz w:val="22"/>
          <w:szCs w:val="22"/>
        </w:rPr>
        <w:t xml:space="preserve"> the reviews of each model in both </w:t>
      </w:r>
      <w:r w:rsidRPr="006B4727">
        <w:rPr>
          <w:i/>
          <w:sz w:val="22"/>
          <w:szCs w:val="22"/>
        </w:rPr>
        <w:t>Car and Driver</w:t>
      </w:r>
      <w:r w:rsidRPr="006B4727">
        <w:rPr>
          <w:sz w:val="22"/>
          <w:szCs w:val="22"/>
        </w:rPr>
        <w:t xml:space="preserve"> magazine and </w:t>
      </w:r>
      <w:r w:rsidRPr="006B4727">
        <w:rPr>
          <w:i/>
          <w:sz w:val="22"/>
          <w:szCs w:val="22"/>
        </w:rPr>
        <w:t>Parker</w:t>
      </w:r>
      <w:r w:rsidR="00996575" w:rsidRPr="006B4727">
        <w:rPr>
          <w:i/>
          <w:sz w:val="22"/>
          <w:szCs w:val="22"/>
        </w:rPr>
        <w:t>’</w:t>
      </w:r>
      <w:r w:rsidRPr="006B4727">
        <w:rPr>
          <w:i/>
          <w:sz w:val="22"/>
          <w:szCs w:val="22"/>
        </w:rPr>
        <w:t>s Automotive</w:t>
      </w:r>
      <w:r w:rsidR="00996575" w:rsidRPr="006B4727">
        <w:rPr>
          <w:i/>
          <w:sz w:val="22"/>
          <w:szCs w:val="22"/>
        </w:rPr>
        <w:t xml:space="preserve">, </w:t>
      </w:r>
      <w:r w:rsidR="00097669" w:rsidRPr="006B4727">
        <w:rPr>
          <w:sz w:val="22"/>
          <w:szCs w:val="22"/>
        </w:rPr>
        <w:t xml:space="preserve">looking </w:t>
      </w:r>
      <w:r w:rsidRPr="006B4727">
        <w:rPr>
          <w:sz w:val="22"/>
          <w:szCs w:val="22"/>
        </w:rPr>
        <w:t xml:space="preserve">for mention of the automobile being released in additional markets under a different name. In several instances, we found that the automobile had been released in a market other than the two under investigation, but that the release </w:t>
      </w:r>
      <w:r w:rsidR="001F78A6" w:rsidRPr="006B4727">
        <w:rPr>
          <w:sz w:val="22"/>
          <w:szCs w:val="22"/>
        </w:rPr>
        <w:t>occurred</w:t>
      </w:r>
      <w:r w:rsidRPr="006B4727">
        <w:rPr>
          <w:sz w:val="22"/>
          <w:szCs w:val="22"/>
        </w:rPr>
        <w:t xml:space="preserve"> no f</w:t>
      </w:r>
      <w:r w:rsidR="001F78A6" w:rsidRPr="006B4727">
        <w:rPr>
          <w:sz w:val="22"/>
          <w:szCs w:val="22"/>
        </w:rPr>
        <w:t>u</w:t>
      </w:r>
      <w:r w:rsidRPr="006B4727">
        <w:rPr>
          <w:sz w:val="22"/>
          <w:szCs w:val="22"/>
        </w:rPr>
        <w:t xml:space="preserve">rther than a year in advance of its release in the </w:t>
      </w:r>
      <w:r w:rsidR="000A1B0A" w:rsidRPr="006B4727">
        <w:rPr>
          <w:sz w:val="22"/>
          <w:szCs w:val="22"/>
        </w:rPr>
        <w:t>U.K</w:t>
      </w:r>
      <w:r w:rsidRPr="006B4727">
        <w:rPr>
          <w:sz w:val="22"/>
          <w:szCs w:val="22"/>
        </w:rPr>
        <w:t xml:space="preserve"> or the </w:t>
      </w:r>
      <w:r w:rsidR="000A1B0A" w:rsidRPr="006B4727">
        <w:rPr>
          <w:sz w:val="22"/>
          <w:szCs w:val="22"/>
        </w:rPr>
        <w:t>U.S</w:t>
      </w:r>
      <w:r w:rsidRPr="006B4727">
        <w:rPr>
          <w:sz w:val="22"/>
          <w:szCs w:val="22"/>
        </w:rPr>
        <w:t xml:space="preserve"> and therefore</w:t>
      </w:r>
      <w:r w:rsidR="007042E3" w:rsidRPr="006B4727">
        <w:rPr>
          <w:sz w:val="22"/>
          <w:szCs w:val="22"/>
        </w:rPr>
        <w:t>,</w:t>
      </w:r>
      <w:r w:rsidRPr="006B4727">
        <w:rPr>
          <w:sz w:val="22"/>
          <w:szCs w:val="22"/>
        </w:rPr>
        <w:t xml:space="preserve"> </w:t>
      </w:r>
      <w:r w:rsidR="00996575" w:rsidRPr="006B4727">
        <w:rPr>
          <w:sz w:val="22"/>
          <w:szCs w:val="22"/>
        </w:rPr>
        <w:t xml:space="preserve">was </w:t>
      </w:r>
      <w:r w:rsidRPr="006B4727">
        <w:rPr>
          <w:sz w:val="22"/>
          <w:szCs w:val="22"/>
        </w:rPr>
        <w:t xml:space="preserve">unlikely to </w:t>
      </w:r>
      <w:r w:rsidR="00996575" w:rsidRPr="006B4727">
        <w:rPr>
          <w:sz w:val="22"/>
          <w:szCs w:val="22"/>
        </w:rPr>
        <w:t>affect</w:t>
      </w:r>
      <w:r w:rsidRPr="006B4727">
        <w:rPr>
          <w:sz w:val="22"/>
          <w:szCs w:val="22"/>
        </w:rPr>
        <w:t xml:space="preserve"> our </w:t>
      </w:r>
      <w:r w:rsidR="00655723" w:rsidRPr="006B4727">
        <w:rPr>
          <w:sz w:val="22"/>
          <w:szCs w:val="22"/>
        </w:rPr>
        <w:t>analysis</w:t>
      </w:r>
      <w:r w:rsidRPr="006B4727">
        <w:rPr>
          <w:sz w:val="22"/>
          <w:szCs w:val="22"/>
        </w:rPr>
        <w:t xml:space="preserve">.  </w:t>
      </w:r>
    </w:p>
    <w:p w14:paraId="7B664B4F" w14:textId="4295E170" w:rsidR="001B500D" w:rsidRPr="006B4727" w:rsidRDefault="00475894" w:rsidP="006324E2">
      <w:pPr>
        <w:spacing w:line="480" w:lineRule="auto"/>
        <w:rPr>
          <w:sz w:val="22"/>
          <w:szCs w:val="22"/>
        </w:rPr>
      </w:pPr>
      <w:r w:rsidRPr="006B4727">
        <w:rPr>
          <w:sz w:val="22"/>
          <w:szCs w:val="22"/>
        </w:rPr>
        <w:tab/>
      </w:r>
      <w:r w:rsidR="008717EA" w:rsidRPr="006B4727">
        <w:rPr>
          <w:sz w:val="22"/>
          <w:szCs w:val="22"/>
        </w:rPr>
        <w:t xml:space="preserve">Of the remaining </w:t>
      </w:r>
      <w:r w:rsidR="000C6D27" w:rsidRPr="006B4727">
        <w:rPr>
          <w:sz w:val="22"/>
          <w:szCs w:val="22"/>
        </w:rPr>
        <w:t>76</w:t>
      </w:r>
      <w:r w:rsidR="008B00C9" w:rsidRPr="006B4727">
        <w:rPr>
          <w:sz w:val="22"/>
          <w:szCs w:val="22"/>
        </w:rPr>
        <w:t xml:space="preserve"> </w:t>
      </w:r>
      <w:r w:rsidR="008717EA" w:rsidRPr="006B4727">
        <w:rPr>
          <w:sz w:val="22"/>
          <w:szCs w:val="22"/>
        </w:rPr>
        <w:t xml:space="preserve">automobile models that were common to both marketplaces, we compared the specifications of each model for sale in both countries </w:t>
      </w:r>
      <w:r w:rsidR="00CF1547" w:rsidRPr="006B4727">
        <w:rPr>
          <w:sz w:val="22"/>
          <w:szCs w:val="22"/>
        </w:rPr>
        <w:t xml:space="preserve">and coded a vehicle as </w:t>
      </w:r>
      <w:r w:rsidR="008717EA" w:rsidRPr="006B4727">
        <w:rPr>
          <w:sz w:val="22"/>
          <w:szCs w:val="22"/>
        </w:rPr>
        <w:t xml:space="preserve">a </w:t>
      </w:r>
      <w:r w:rsidR="00097669" w:rsidRPr="006B4727">
        <w:rPr>
          <w:i/>
          <w:sz w:val="22"/>
          <w:szCs w:val="22"/>
        </w:rPr>
        <w:t>standardized automobile</w:t>
      </w:r>
      <w:r w:rsidR="00CF1547" w:rsidRPr="006B4727">
        <w:rPr>
          <w:sz w:val="22"/>
          <w:szCs w:val="22"/>
        </w:rPr>
        <w:t xml:space="preserve"> if the specifications were similar across the </w:t>
      </w:r>
      <w:r w:rsidR="003A71E5" w:rsidRPr="006B4727">
        <w:rPr>
          <w:sz w:val="22"/>
          <w:szCs w:val="22"/>
        </w:rPr>
        <w:t xml:space="preserve">two </w:t>
      </w:r>
      <w:r w:rsidR="00CF1547" w:rsidRPr="006B4727">
        <w:rPr>
          <w:sz w:val="22"/>
          <w:szCs w:val="22"/>
        </w:rPr>
        <w:t>markets</w:t>
      </w:r>
      <w:r w:rsidR="008717EA" w:rsidRPr="006B4727">
        <w:rPr>
          <w:sz w:val="22"/>
          <w:szCs w:val="22"/>
        </w:rPr>
        <w:t xml:space="preserve">. </w:t>
      </w:r>
      <w:r w:rsidR="00CF1547" w:rsidRPr="006B4727">
        <w:rPr>
          <w:sz w:val="22"/>
          <w:szCs w:val="22"/>
        </w:rPr>
        <w:t xml:space="preserve">In coding for standardization, </w:t>
      </w:r>
      <w:r w:rsidR="00553EB5" w:rsidRPr="006B4727">
        <w:rPr>
          <w:sz w:val="22"/>
          <w:szCs w:val="22"/>
        </w:rPr>
        <w:t xml:space="preserve">we </w:t>
      </w:r>
      <w:r w:rsidR="00F237C9" w:rsidRPr="006B4727">
        <w:rPr>
          <w:sz w:val="22"/>
          <w:szCs w:val="22"/>
        </w:rPr>
        <w:t>only focused on the model specifications and ignored idiosyncratic features of models that make them suitable to different markets due to institutional norms</w:t>
      </w:r>
      <w:r w:rsidR="00655723" w:rsidRPr="006B4727">
        <w:rPr>
          <w:sz w:val="22"/>
          <w:szCs w:val="22"/>
        </w:rPr>
        <w:t xml:space="preserve"> (e.g., whether the driver’s seat was on the left side of the right side)</w:t>
      </w:r>
      <w:r w:rsidR="00F237C9" w:rsidRPr="006B4727">
        <w:rPr>
          <w:sz w:val="22"/>
          <w:szCs w:val="22"/>
        </w:rPr>
        <w:t>.</w:t>
      </w:r>
      <w:r w:rsidR="00066F6A" w:rsidRPr="006B4727">
        <w:rPr>
          <w:sz w:val="22"/>
          <w:szCs w:val="22"/>
        </w:rPr>
        <w:t xml:space="preserve"> </w:t>
      </w:r>
      <w:r w:rsidR="00CF1547" w:rsidRPr="006B4727">
        <w:rPr>
          <w:sz w:val="22"/>
          <w:szCs w:val="22"/>
        </w:rPr>
        <w:t xml:space="preserve"> </w:t>
      </w:r>
      <w:r w:rsidR="00FD1901" w:rsidRPr="006B4727">
        <w:rPr>
          <w:sz w:val="22"/>
          <w:szCs w:val="22"/>
        </w:rPr>
        <w:t xml:space="preserve">Please see Table </w:t>
      </w:r>
      <w:r w:rsidR="006E1E22" w:rsidRPr="006B4727">
        <w:rPr>
          <w:sz w:val="22"/>
          <w:szCs w:val="22"/>
        </w:rPr>
        <w:t>3</w:t>
      </w:r>
      <w:r w:rsidR="00562EB5" w:rsidRPr="006B4727">
        <w:rPr>
          <w:sz w:val="22"/>
          <w:szCs w:val="22"/>
        </w:rPr>
        <w:t xml:space="preserve"> for </w:t>
      </w:r>
      <w:r w:rsidR="00007C96" w:rsidRPr="006B4727">
        <w:rPr>
          <w:sz w:val="22"/>
          <w:szCs w:val="22"/>
        </w:rPr>
        <w:t xml:space="preserve">the number of </w:t>
      </w:r>
      <w:r w:rsidR="00562EB5" w:rsidRPr="006B4727">
        <w:rPr>
          <w:sz w:val="22"/>
          <w:szCs w:val="22"/>
        </w:rPr>
        <w:t xml:space="preserve">standardized and customized </w:t>
      </w:r>
      <w:r w:rsidR="00007C96" w:rsidRPr="006B4727">
        <w:rPr>
          <w:sz w:val="22"/>
          <w:szCs w:val="22"/>
        </w:rPr>
        <w:t xml:space="preserve">automobiles </w:t>
      </w:r>
      <w:r w:rsidR="00261040" w:rsidRPr="006B4727">
        <w:rPr>
          <w:sz w:val="22"/>
          <w:szCs w:val="22"/>
        </w:rPr>
        <w:t xml:space="preserve">recalled </w:t>
      </w:r>
      <w:r w:rsidR="00007C96" w:rsidRPr="006B4727">
        <w:rPr>
          <w:sz w:val="22"/>
          <w:szCs w:val="22"/>
        </w:rPr>
        <w:t xml:space="preserve">in each </w:t>
      </w:r>
      <w:r w:rsidR="00747D28" w:rsidRPr="006B4727">
        <w:rPr>
          <w:sz w:val="22"/>
          <w:szCs w:val="22"/>
        </w:rPr>
        <w:t>of the U.S and U.K markets</w:t>
      </w:r>
      <w:r w:rsidR="00786667" w:rsidRPr="006B4727">
        <w:rPr>
          <w:sz w:val="22"/>
          <w:szCs w:val="22"/>
        </w:rPr>
        <w:t>.</w:t>
      </w:r>
    </w:p>
    <w:p w14:paraId="4D070C36" w14:textId="22AE1FE6" w:rsidR="00CD3159" w:rsidRPr="006B4727" w:rsidRDefault="00D65095" w:rsidP="006324E2">
      <w:pPr>
        <w:spacing w:line="480" w:lineRule="auto"/>
        <w:jc w:val="center"/>
        <w:rPr>
          <w:b/>
          <w:i/>
          <w:sz w:val="22"/>
          <w:szCs w:val="22"/>
        </w:rPr>
      </w:pPr>
      <w:r w:rsidRPr="006B4727">
        <w:rPr>
          <w:sz w:val="22"/>
          <w:szCs w:val="22"/>
        </w:rPr>
        <w:t>&lt;Please i</w:t>
      </w:r>
      <w:r w:rsidR="00FD1901" w:rsidRPr="006B4727">
        <w:rPr>
          <w:sz w:val="22"/>
          <w:szCs w:val="22"/>
        </w:rPr>
        <w:t xml:space="preserve">nsert Table </w:t>
      </w:r>
      <w:r w:rsidR="006E1E22" w:rsidRPr="006B4727">
        <w:rPr>
          <w:sz w:val="22"/>
          <w:szCs w:val="22"/>
        </w:rPr>
        <w:t>3</w:t>
      </w:r>
      <w:r w:rsidR="00786667" w:rsidRPr="006B4727">
        <w:rPr>
          <w:sz w:val="22"/>
          <w:szCs w:val="22"/>
        </w:rPr>
        <w:t xml:space="preserve"> </w:t>
      </w:r>
      <w:r w:rsidRPr="006B4727">
        <w:rPr>
          <w:sz w:val="22"/>
          <w:szCs w:val="22"/>
        </w:rPr>
        <w:t xml:space="preserve">about </w:t>
      </w:r>
      <w:r w:rsidR="00786667" w:rsidRPr="006B4727">
        <w:rPr>
          <w:sz w:val="22"/>
          <w:szCs w:val="22"/>
        </w:rPr>
        <w:t>Here&gt;</w:t>
      </w:r>
    </w:p>
    <w:p w14:paraId="3A732D82" w14:textId="7064AB57" w:rsidR="00F57FC6" w:rsidRPr="006B4727" w:rsidRDefault="00F57FC6" w:rsidP="006B4727">
      <w:pPr>
        <w:spacing w:line="480" w:lineRule="auto"/>
        <w:rPr>
          <w:bCs/>
          <w:i/>
          <w:sz w:val="22"/>
          <w:szCs w:val="22"/>
        </w:rPr>
      </w:pPr>
      <w:r w:rsidRPr="006B4727">
        <w:rPr>
          <w:bCs/>
          <w:i/>
          <w:sz w:val="22"/>
          <w:szCs w:val="22"/>
        </w:rPr>
        <w:t>Regulatory Environment</w:t>
      </w:r>
    </w:p>
    <w:p w14:paraId="46A5D2D5" w14:textId="2D5A19F6" w:rsidR="002A313A" w:rsidRPr="006B4727" w:rsidRDefault="00D65095" w:rsidP="006B4727">
      <w:pPr>
        <w:spacing w:line="480" w:lineRule="auto"/>
        <w:ind w:firstLine="720"/>
        <w:rPr>
          <w:sz w:val="22"/>
          <w:szCs w:val="22"/>
        </w:rPr>
      </w:pPr>
      <w:r w:rsidRPr="006B4727">
        <w:rPr>
          <w:sz w:val="22"/>
          <w:szCs w:val="22"/>
        </w:rPr>
        <w:t xml:space="preserve">We captured the regulatory environment with the help of a </w:t>
      </w:r>
      <w:r w:rsidR="009C518E" w:rsidRPr="006B4727">
        <w:rPr>
          <w:sz w:val="22"/>
          <w:szCs w:val="22"/>
        </w:rPr>
        <w:t xml:space="preserve">binary </w:t>
      </w:r>
      <w:r w:rsidRPr="006B4727">
        <w:rPr>
          <w:sz w:val="22"/>
          <w:szCs w:val="22"/>
        </w:rPr>
        <w:t xml:space="preserve">variable. </w:t>
      </w:r>
      <w:r w:rsidR="00262EFA" w:rsidRPr="006B4727">
        <w:rPr>
          <w:sz w:val="22"/>
          <w:szCs w:val="22"/>
        </w:rPr>
        <w:t xml:space="preserve">As discussed earlier, </w:t>
      </w:r>
      <w:r w:rsidR="007741FA" w:rsidRPr="006B4727">
        <w:rPr>
          <w:sz w:val="22"/>
          <w:szCs w:val="22"/>
        </w:rPr>
        <w:t>both</w:t>
      </w:r>
      <w:r w:rsidR="006202BB" w:rsidRPr="006B4727">
        <w:rPr>
          <w:sz w:val="22"/>
          <w:szCs w:val="22"/>
        </w:rPr>
        <w:t xml:space="preserve"> </w:t>
      </w:r>
      <w:r w:rsidR="00262EFA" w:rsidRPr="006B4727">
        <w:rPr>
          <w:sz w:val="22"/>
          <w:szCs w:val="22"/>
        </w:rPr>
        <w:t xml:space="preserve">the </w:t>
      </w:r>
      <w:r w:rsidR="000A1B0A" w:rsidRPr="006B4727">
        <w:rPr>
          <w:sz w:val="22"/>
          <w:szCs w:val="22"/>
        </w:rPr>
        <w:t>U.K</w:t>
      </w:r>
      <w:r w:rsidR="00316947" w:rsidRPr="006B4727">
        <w:rPr>
          <w:sz w:val="22"/>
          <w:szCs w:val="22"/>
        </w:rPr>
        <w:t xml:space="preserve"> and Germany</w:t>
      </w:r>
      <w:r w:rsidRPr="006B4727">
        <w:rPr>
          <w:sz w:val="22"/>
          <w:szCs w:val="22"/>
        </w:rPr>
        <w:t xml:space="preserve"> </w:t>
      </w:r>
      <w:r w:rsidR="00262EFA" w:rsidRPr="006B4727">
        <w:rPr>
          <w:sz w:val="22"/>
          <w:szCs w:val="22"/>
        </w:rPr>
        <w:t xml:space="preserve">place </w:t>
      </w:r>
      <w:r w:rsidRPr="006B4727">
        <w:rPr>
          <w:sz w:val="22"/>
          <w:szCs w:val="22"/>
        </w:rPr>
        <w:t xml:space="preserve">a higher emphasis on consumer engagement in product safety, </w:t>
      </w:r>
      <w:r w:rsidR="00F237C9" w:rsidRPr="006B4727">
        <w:rPr>
          <w:sz w:val="22"/>
          <w:szCs w:val="22"/>
        </w:rPr>
        <w:t xml:space="preserve">while </w:t>
      </w:r>
      <w:r w:rsidRPr="006B4727">
        <w:rPr>
          <w:sz w:val="22"/>
          <w:szCs w:val="22"/>
        </w:rPr>
        <w:t xml:space="preserve">the </w:t>
      </w:r>
      <w:r w:rsidR="000A1B0A" w:rsidRPr="006B4727">
        <w:rPr>
          <w:sz w:val="22"/>
          <w:szCs w:val="22"/>
        </w:rPr>
        <w:t>U.S</w:t>
      </w:r>
      <w:r w:rsidR="00316947" w:rsidRPr="006B4727">
        <w:rPr>
          <w:sz w:val="22"/>
          <w:szCs w:val="22"/>
        </w:rPr>
        <w:t xml:space="preserve"> and Australia</w:t>
      </w:r>
      <w:r w:rsidRPr="006B4727">
        <w:rPr>
          <w:sz w:val="22"/>
          <w:szCs w:val="22"/>
        </w:rPr>
        <w:t xml:space="preserve"> place emphasis on regulating the firms</w:t>
      </w:r>
      <w:r w:rsidR="00655723" w:rsidRPr="006B4727">
        <w:rPr>
          <w:sz w:val="22"/>
          <w:szCs w:val="22"/>
        </w:rPr>
        <w:t xml:space="preserve"> only</w:t>
      </w:r>
      <w:r w:rsidRPr="006B4727">
        <w:rPr>
          <w:sz w:val="22"/>
          <w:szCs w:val="22"/>
        </w:rPr>
        <w:t xml:space="preserve">. Accordingly, </w:t>
      </w:r>
      <w:r w:rsidR="006202BB" w:rsidRPr="006B4727">
        <w:rPr>
          <w:sz w:val="22"/>
          <w:szCs w:val="22"/>
        </w:rPr>
        <w:t>for regulatory environment,</w:t>
      </w:r>
      <w:r w:rsidR="00316947" w:rsidRPr="006B4727">
        <w:rPr>
          <w:sz w:val="22"/>
          <w:szCs w:val="22"/>
        </w:rPr>
        <w:t xml:space="preserve"> we compared </w:t>
      </w:r>
      <w:r w:rsidR="00003C71" w:rsidRPr="006B4727">
        <w:rPr>
          <w:sz w:val="22"/>
          <w:szCs w:val="22"/>
        </w:rPr>
        <w:t xml:space="preserve">countries in pairs. One country in the pair placed greater emphasis on regulating firms (United Sates or Australia) and the other half of the pair </w:t>
      </w:r>
      <w:r w:rsidR="007042E3" w:rsidRPr="006B4727">
        <w:rPr>
          <w:sz w:val="22"/>
          <w:szCs w:val="22"/>
        </w:rPr>
        <w:t xml:space="preserve">included </w:t>
      </w:r>
      <w:r w:rsidR="00003C71" w:rsidRPr="006B4727">
        <w:rPr>
          <w:sz w:val="22"/>
          <w:szCs w:val="22"/>
        </w:rPr>
        <w:t>a country that place</w:t>
      </w:r>
      <w:r w:rsidR="00655723" w:rsidRPr="006B4727">
        <w:rPr>
          <w:sz w:val="22"/>
          <w:szCs w:val="22"/>
        </w:rPr>
        <w:t>d</w:t>
      </w:r>
      <w:r w:rsidR="00003C71" w:rsidRPr="006B4727">
        <w:rPr>
          <w:sz w:val="22"/>
          <w:szCs w:val="22"/>
        </w:rPr>
        <w:t xml:space="preserve"> a greater emphasis on consumer engagement (</w:t>
      </w:r>
      <w:r w:rsidR="000A1B0A" w:rsidRPr="006B4727">
        <w:rPr>
          <w:sz w:val="22"/>
          <w:szCs w:val="22"/>
        </w:rPr>
        <w:t>U.K</w:t>
      </w:r>
      <w:r w:rsidR="00003C71" w:rsidRPr="006B4727">
        <w:rPr>
          <w:sz w:val="22"/>
          <w:szCs w:val="22"/>
        </w:rPr>
        <w:t xml:space="preserve"> or Germany). </w:t>
      </w:r>
    </w:p>
    <w:p w14:paraId="3FF89C0F" w14:textId="5B15E734" w:rsidR="00261040" w:rsidRPr="006B4727" w:rsidRDefault="00200F13" w:rsidP="006B4727">
      <w:pPr>
        <w:spacing w:line="480" w:lineRule="auto"/>
        <w:rPr>
          <w:bCs/>
          <w:i/>
          <w:sz w:val="22"/>
          <w:szCs w:val="22"/>
        </w:rPr>
      </w:pPr>
      <w:r w:rsidRPr="006B4727">
        <w:rPr>
          <w:bCs/>
          <w:i/>
          <w:sz w:val="22"/>
          <w:szCs w:val="22"/>
        </w:rPr>
        <w:t>Control Variables</w:t>
      </w:r>
    </w:p>
    <w:p w14:paraId="56E1F6F8" w14:textId="4CEEF0E6" w:rsidR="00F26237" w:rsidRPr="006B4727" w:rsidRDefault="000B577E" w:rsidP="006B4727">
      <w:pPr>
        <w:spacing w:line="480" w:lineRule="auto"/>
        <w:ind w:firstLine="720"/>
        <w:rPr>
          <w:sz w:val="22"/>
          <w:szCs w:val="22"/>
        </w:rPr>
      </w:pPr>
      <w:r w:rsidRPr="006B4727">
        <w:rPr>
          <w:sz w:val="22"/>
          <w:szCs w:val="22"/>
        </w:rPr>
        <w:lastRenderedPageBreak/>
        <w:t xml:space="preserve">Our control variables included </w:t>
      </w:r>
      <w:r w:rsidR="00D65095" w:rsidRPr="006B4727">
        <w:rPr>
          <w:sz w:val="22"/>
          <w:szCs w:val="22"/>
        </w:rPr>
        <w:t>the automaker’s country of origin</w:t>
      </w:r>
      <w:r w:rsidR="00F237C9" w:rsidRPr="006B4727">
        <w:rPr>
          <w:sz w:val="22"/>
          <w:szCs w:val="22"/>
        </w:rPr>
        <w:t>,</w:t>
      </w:r>
      <w:r w:rsidR="00D65095" w:rsidRPr="006B4727">
        <w:rPr>
          <w:sz w:val="22"/>
          <w:szCs w:val="22"/>
        </w:rPr>
        <w:t xml:space="preserve"> </w:t>
      </w:r>
      <w:r w:rsidRPr="006B4727">
        <w:rPr>
          <w:sz w:val="22"/>
          <w:szCs w:val="22"/>
        </w:rPr>
        <w:t>reputation, severity of the pro</w:t>
      </w:r>
      <w:r w:rsidR="00D65095" w:rsidRPr="006B4727">
        <w:rPr>
          <w:sz w:val="22"/>
          <w:szCs w:val="22"/>
        </w:rPr>
        <w:t>blem reported in recall notices</w:t>
      </w:r>
      <w:r w:rsidR="00D211EA" w:rsidRPr="006B4727">
        <w:rPr>
          <w:sz w:val="22"/>
          <w:szCs w:val="22"/>
        </w:rPr>
        <w:t>,</w:t>
      </w:r>
      <w:r w:rsidRPr="006B4727">
        <w:rPr>
          <w:sz w:val="22"/>
          <w:szCs w:val="22"/>
        </w:rPr>
        <w:t xml:space="preserve"> </w:t>
      </w:r>
      <w:r w:rsidR="00B6782B" w:rsidRPr="006B4727">
        <w:rPr>
          <w:sz w:val="22"/>
          <w:szCs w:val="22"/>
        </w:rPr>
        <w:t>the</w:t>
      </w:r>
      <w:r w:rsidR="00D65095" w:rsidRPr="006B4727">
        <w:rPr>
          <w:sz w:val="22"/>
          <w:szCs w:val="22"/>
        </w:rPr>
        <w:t xml:space="preserve"> number of vehicles recalled</w:t>
      </w:r>
      <w:r w:rsidR="00F237C9" w:rsidRPr="006B4727">
        <w:rPr>
          <w:sz w:val="22"/>
          <w:szCs w:val="22"/>
        </w:rPr>
        <w:t>,</w:t>
      </w:r>
      <w:r w:rsidR="00B6782B" w:rsidRPr="006B4727">
        <w:rPr>
          <w:sz w:val="22"/>
          <w:szCs w:val="22"/>
        </w:rPr>
        <w:t xml:space="preserve"> and </w:t>
      </w:r>
      <w:proofErr w:type="spellStart"/>
      <w:r w:rsidR="00B6782B" w:rsidRPr="006B4727">
        <w:rPr>
          <w:sz w:val="22"/>
          <w:szCs w:val="22"/>
        </w:rPr>
        <w:t>generalism</w:t>
      </w:r>
      <w:proofErr w:type="spellEnd"/>
      <w:r w:rsidRPr="006B4727">
        <w:rPr>
          <w:sz w:val="22"/>
          <w:szCs w:val="22"/>
        </w:rPr>
        <w:t>.</w:t>
      </w:r>
      <w:r w:rsidR="006B4727">
        <w:rPr>
          <w:sz w:val="22"/>
          <w:szCs w:val="22"/>
        </w:rPr>
        <w:t xml:space="preserve"> </w:t>
      </w:r>
      <w:r w:rsidR="002D761C" w:rsidRPr="006B4727">
        <w:rPr>
          <w:sz w:val="22"/>
          <w:szCs w:val="22"/>
        </w:rPr>
        <w:t>We controlled for the automaker’s country of origin because p</w:t>
      </w:r>
      <w:r w:rsidR="00D65095" w:rsidRPr="006B4727">
        <w:rPr>
          <w:sz w:val="22"/>
          <w:szCs w:val="22"/>
        </w:rPr>
        <w:t xml:space="preserve">rior research has shown that automobile manufacturers have historically employed different strategies depending upon their country of origin. For example, Japanese manufacturers may not exert the same formal control </w:t>
      </w:r>
      <w:r w:rsidR="00DC01E7" w:rsidRPr="006B4727">
        <w:rPr>
          <w:sz w:val="22"/>
          <w:szCs w:val="22"/>
        </w:rPr>
        <w:t xml:space="preserve">over their operations </w:t>
      </w:r>
      <w:r w:rsidR="00D65095" w:rsidRPr="006B4727">
        <w:rPr>
          <w:sz w:val="22"/>
          <w:szCs w:val="22"/>
        </w:rPr>
        <w:t xml:space="preserve">as </w:t>
      </w:r>
      <w:r w:rsidR="00D211EA" w:rsidRPr="006B4727">
        <w:rPr>
          <w:sz w:val="22"/>
          <w:szCs w:val="22"/>
        </w:rPr>
        <w:t xml:space="preserve">do </w:t>
      </w:r>
      <w:r w:rsidR="00D65095" w:rsidRPr="006B4727">
        <w:rPr>
          <w:sz w:val="22"/>
          <w:szCs w:val="22"/>
        </w:rPr>
        <w:t xml:space="preserve">their Western counterparts, instead </w:t>
      </w:r>
      <w:r w:rsidR="00DC01E7" w:rsidRPr="006B4727">
        <w:rPr>
          <w:sz w:val="22"/>
          <w:szCs w:val="22"/>
        </w:rPr>
        <w:t>relying on</w:t>
      </w:r>
      <w:r w:rsidR="00D65095" w:rsidRPr="006B4727">
        <w:rPr>
          <w:sz w:val="22"/>
          <w:szCs w:val="22"/>
        </w:rPr>
        <w:t xml:space="preserve"> a type of “cultural control” (Johansson </w:t>
      </w:r>
      <w:r w:rsidR="00C24BEA" w:rsidRPr="006B4727">
        <w:rPr>
          <w:sz w:val="22"/>
          <w:szCs w:val="22"/>
        </w:rPr>
        <w:t>&amp;</w:t>
      </w:r>
      <w:r w:rsidR="00D65095" w:rsidRPr="006B4727">
        <w:rPr>
          <w:sz w:val="22"/>
          <w:szCs w:val="22"/>
        </w:rPr>
        <w:t xml:space="preserve"> Yip</w:t>
      </w:r>
      <w:r w:rsidR="00C24BEA" w:rsidRPr="006B4727">
        <w:rPr>
          <w:sz w:val="22"/>
          <w:szCs w:val="22"/>
        </w:rPr>
        <w:t>,</w:t>
      </w:r>
      <w:r w:rsidR="00D65095" w:rsidRPr="006B4727">
        <w:rPr>
          <w:sz w:val="22"/>
          <w:szCs w:val="22"/>
        </w:rPr>
        <w:t xml:space="preserve"> 1994). Japanese firms are also known to </w:t>
      </w:r>
      <w:r w:rsidR="00D211EA" w:rsidRPr="006B4727">
        <w:rPr>
          <w:sz w:val="22"/>
          <w:szCs w:val="22"/>
        </w:rPr>
        <w:t xml:space="preserve">set </w:t>
      </w:r>
      <w:r w:rsidR="00D65095" w:rsidRPr="006B4727">
        <w:rPr>
          <w:sz w:val="22"/>
          <w:szCs w:val="22"/>
        </w:rPr>
        <w:t>price</w:t>
      </w:r>
      <w:r w:rsidR="00D211EA" w:rsidRPr="006B4727">
        <w:rPr>
          <w:sz w:val="22"/>
          <w:szCs w:val="22"/>
        </w:rPr>
        <w:t>s</w:t>
      </w:r>
      <w:r w:rsidR="00D65095" w:rsidRPr="006B4727">
        <w:rPr>
          <w:sz w:val="22"/>
          <w:szCs w:val="22"/>
        </w:rPr>
        <w:t xml:space="preserve"> based on </w:t>
      </w:r>
      <w:r w:rsidR="00D211EA" w:rsidRPr="006B4727">
        <w:rPr>
          <w:sz w:val="22"/>
          <w:szCs w:val="22"/>
        </w:rPr>
        <w:t xml:space="preserve">those of </w:t>
      </w:r>
      <w:r w:rsidR="00D65095" w:rsidRPr="006B4727">
        <w:rPr>
          <w:sz w:val="22"/>
          <w:szCs w:val="22"/>
        </w:rPr>
        <w:t>their local rivals</w:t>
      </w:r>
      <w:r w:rsidR="00D211EA" w:rsidRPr="006B4727">
        <w:rPr>
          <w:sz w:val="22"/>
          <w:szCs w:val="22"/>
        </w:rPr>
        <w:t>,</w:t>
      </w:r>
      <w:r w:rsidR="00D65095" w:rsidRPr="006B4727">
        <w:rPr>
          <w:sz w:val="22"/>
          <w:szCs w:val="22"/>
        </w:rPr>
        <w:t xml:space="preserve"> thereby indicating the</w:t>
      </w:r>
      <w:r w:rsidR="00911755" w:rsidRPr="006B4727">
        <w:rPr>
          <w:sz w:val="22"/>
          <w:szCs w:val="22"/>
        </w:rPr>
        <w:t>ir</w:t>
      </w:r>
      <w:r w:rsidR="00D65095" w:rsidRPr="006B4727">
        <w:rPr>
          <w:sz w:val="22"/>
          <w:szCs w:val="22"/>
        </w:rPr>
        <w:t xml:space="preserve"> willingness to reduce costs rather than enhance the value of the product (Ohmae</w:t>
      </w:r>
      <w:r w:rsidR="005521D2" w:rsidRPr="006B4727">
        <w:rPr>
          <w:sz w:val="22"/>
          <w:szCs w:val="22"/>
        </w:rPr>
        <w:t>,</w:t>
      </w:r>
      <w:r w:rsidR="00D65095" w:rsidRPr="006B4727">
        <w:rPr>
          <w:sz w:val="22"/>
          <w:szCs w:val="22"/>
        </w:rPr>
        <w:t xml:space="preserve"> 1990).</w:t>
      </w:r>
      <w:r w:rsidR="002D761C" w:rsidRPr="006B4727">
        <w:rPr>
          <w:sz w:val="22"/>
          <w:szCs w:val="22"/>
        </w:rPr>
        <w:t xml:space="preserve"> </w:t>
      </w:r>
      <w:r w:rsidR="00D65095" w:rsidRPr="006B4727">
        <w:rPr>
          <w:sz w:val="22"/>
          <w:szCs w:val="22"/>
        </w:rPr>
        <w:t xml:space="preserve">The majority of </w:t>
      </w:r>
      <w:r w:rsidR="00911755" w:rsidRPr="006B4727">
        <w:rPr>
          <w:sz w:val="22"/>
          <w:szCs w:val="22"/>
        </w:rPr>
        <w:t xml:space="preserve">firms in our </w:t>
      </w:r>
      <w:r w:rsidR="00D65095" w:rsidRPr="006B4727">
        <w:rPr>
          <w:sz w:val="22"/>
          <w:szCs w:val="22"/>
        </w:rPr>
        <w:t>sample originated from one of the following four countries: Germany, Japan</w:t>
      </w:r>
      <w:r w:rsidR="00DC01E7" w:rsidRPr="006B4727">
        <w:rPr>
          <w:sz w:val="22"/>
          <w:szCs w:val="22"/>
        </w:rPr>
        <w:t xml:space="preserve">, South Korea, or the </w:t>
      </w:r>
      <w:r w:rsidR="000A1B0A" w:rsidRPr="006B4727">
        <w:rPr>
          <w:sz w:val="22"/>
          <w:szCs w:val="22"/>
        </w:rPr>
        <w:t>U.S</w:t>
      </w:r>
      <w:r w:rsidR="00D65095" w:rsidRPr="006B4727">
        <w:rPr>
          <w:sz w:val="22"/>
          <w:szCs w:val="22"/>
        </w:rPr>
        <w:t>. Each country of origin was controlled for with a binary variable</w:t>
      </w:r>
      <w:r w:rsidR="00D211EA" w:rsidRPr="006B4727">
        <w:rPr>
          <w:sz w:val="22"/>
          <w:szCs w:val="22"/>
        </w:rPr>
        <w:t>:</w:t>
      </w:r>
      <w:r w:rsidR="00D65095" w:rsidRPr="006B4727">
        <w:rPr>
          <w:sz w:val="22"/>
          <w:szCs w:val="22"/>
        </w:rPr>
        <w:t xml:space="preserve"> a score of </w:t>
      </w:r>
      <w:r w:rsidR="00D211EA" w:rsidRPr="006B4727">
        <w:rPr>
          <w:sz w:val="22"/>
          <w:szCs w:val="22"/>
        </w:rPr>
        <w:t>1</w:t>
      </w:r>
      <w:r w:rsidR="00D65095" w:rsidRPr="006B4727">
        <w:rPr>
          <w:sz w:val="22"/>
          <w:szCs w:val="22"/>
        </w:rPr>
        <w:t xml:space="preserve"> if the manufacturer was headquartered within that country</w:t>
      </w:r>
      <w:r w:rsidR="00D211EA" w:rsidRPr="006B4727">
        <w:rPr>
          <w:sz w:val="22"/>
          <w:szCs w:val="22"/>
        </w:rPr>
        <w:t>,</w:t>
      </w:r>
      <w:r w:rsidR="00D65095" w:rsidRPr="006B4727">
        <w:rPr>
          <w:sz w:val="22"/>
          <w:szCs w:val="22"/>
        </w:rPr>
        <w:t xml:space="preserve"> and a score of 0 if it was not. </w:t>
      </w:r>
      <w:r w:rsidR="00DC01E7" w:rsidRPr="006B4727">
        <w:rPr>
          <w:sz w:val="22"/>
          <w:szCs w:val="22"/>
        </w:rPr>
        <w:t>To avoid over</w:t>
      </w:r>
      <w:r w:rsidR="002D761C" w:rsidRPr="006B4727">
        <w:rPr>
          <w:sz w:val="22"/>
          <w:szCs w:val="22"/>
        </w:rPr>
        <w:t>-</w:t>
      </w:r>
      <w:r w:rsidR="00DC01E7" w:rsidRPr="006B4727">
        <w:rPr>
          <w:sz w:val="22"/>
          <w:szCs w:val="22"/>
        </w:rPr>
        <w:t xml:space="preserve">parameterizing the model, we did not add a dummy </w:t>
      </w:r>
      <w:r w:rsidR="00D211EA" w:rsidRPr="006B4727">
        <w:rPr>
          <w:sz w:val="22"/>
          <w:szCs w:val="22"/>
        </w:rPr>
        <w:t xml:space="preserve">variable </w:t>
      </w:r>
      <w:r w:rsidR="00DC01E7" w:rsidRPr="006B4727">
        <w:rPr>
          <w:sz w:val="22"/>
          <w:szCs w:val="22"/>
        </w:rPr>
        <w:t xml:space="preserve">for </w:t>
      </w:r>
      <w:r w:rsidR="00D65095" w:rsidRPr="006B4727">
        <w:rPr>
          <w:sz w:val="22"/>
          <w:szCs w:val="22"/>
        </w:rPr>
        <w:t>Volvo (headquartered in Sweden and owned by a Chinese conglomerate)</w:t>
      </w:r>
      <w:r w:rsidR="0066244C" w:rsidRPr="006B4727">
        <w:rPr>
          <w:sz w:val="22"/>
          <w:szCs w:val="22"/>
        </w:rPr>
        <w:t>,</w:t>
      </w:r>
      <w:r w:rsidR="00066F6A" w:rsidRPr="006B4727">
        <w:rPr>
          <w:sz w:val="22"/>
          <w:szCs w:val="22"/>
        </w:rPr>
        <w:t xml:space="preserve"> which had only six recalls during our study period. </w:t>
      </w:r>
    </w:p>
    <w:p w14:paraId="35CC5BCA" w14:textId="3A42E904" w:rsidR="00C803CC" w:rsidRPr="006B4727" w:rsidRDefault="00475894" w:rsidP="006324E2">
      <w:pPr>
        <w:spacing w:line="480" w:lineRule="auto"/>
        <w:rPr>
          <w:sz w:val="22"/>
          <w:szCs w:val="22"/>
        </w:rPr>
      </w:pPr>
      <w:r w:rsidRPr="006B4727">
        <w:rPr>
          <w:sz w:val="22"/>
          <w:szCs w:val="22"/>
        </w:rPr>
        <w:tab/>
      </w:r>
      <w:r w:rsidR="00DC01E7" w:rsidRPr="006B4727">
        <w:rPr>
          <w:sz w:val="22"/>
          <w:szCs w:val="22"/>
        </w:rPr>
        <w:t>Firm r</w:t>
      </w:r>
      <w:r w:rsidR="009E4E9F" w:rsidRPr="006B4727">
        <w:rPr>
          <w:sz w:val="22"/>
          <w:szCs w:val="22"/>
        </w:rPr>
        <w:t xml:space="preserve">eputation influences </w:t>
      </w:r>
      <w:r w:rsidR="00A07786" w:rsidRPr="006B4727">
        <w:rPr>
          <w:sz w:val="22"/>
          <w:szCs w:val="22"/>
        </w:rPr>
        <w:t xml:space="preserve">a firm’s actions in a product recall situation as well as the </w:t>
      </w:r>
      <w:r w:rsidR="00200F13" w:rsidRPr="006B4727">
        <w:rPr>
          <w:sz w:val="22"/>
          <w:szCs w:val="22"/>
        </w:rPr>
        <w:t xml:space="preserve">response </w:t>
      </w:r>
      <w:r w:rsidR="00DC01E7" w:rsidRPr="006B4727">
        <w:rPr>
          <w:sz w:val="22"/>
          <w:szCs w:val="22"/>
        </w:rPr>
        <w:t xml:space="preserve">of market </w:t>
      </w:r>
      <w:r w:rsidR="00200F13" w:rsidRPr="006B4727">
        <w:rPr>
          <w:sz w:val="22"/>
          <w:szCs w:val="22"/>
        </w:rPr>
        <w:t xml:space="preserve">to </w:t>
      </w:r>
      <w:r w:rsidR="00A07786" w:rsidRPr="006B4727">
        <w:rPr>
          <w:sz w:val="22"/>
          <w:szCs w:val="22"/>
        </w:rPr>
        <w:t xml:space="preserve">the </w:t>
      </w:r>
      <w:r w:rsidR="00DC01E7" w:rsidRPr="006B4727">
        <w:rPr>
          <w:sz w:val="22"/>
          <w:szCs w:val="22"/>
        </w:rPr>
        <w:t xml:space="preserve">recall actions of the firm </w:t>
      </w:r>
      <w:r w:rsidR="00200F13" w:rsidRPr="006B4727">
        <w:rPr>
          <w:sz w:val="22"/>
          <w:szCs w:val="22"/>
        </w:rPr>
        <w:t>(</w:t>
      </w:r>
      <w:r w:rsidR="00A07786" w:rsidRPr="006B4727">
        <w:rPr>
          <w:sz w:val="22"/>
          <w:szCs w:val="22"/>
        </w:rPr>
        <w:t xml:space="preserve">Dawar </w:t>
      </w:r>
      <w:r w:rsidR="0030194A" w:rsidRPr="006B4727">
        <w:rPr>
          <w:sz w:val="22"/>
          <w:szCs w:val="22"/>
        </w:rPr>
        <w:t>&amp;</w:t>
      </w:r>
      <w:r w:rsidR="00A07786" w:rsidRPr="006B4727">
        <w:rPr>
          <w:sz w:val="22"/>
          <w:szCs w:val="22"/>
        </w:rPr>
        <w:t xml:space="preserve"> Parker</w:t>
      </w:r>
      <w:r w:rsidR="0030194A" w:rsidRPr="006B4727">
        <w:rPr>
          <w:sz w:val="22"/>
          <w:szCs w:val="22"/>
        </w:rPr>
        <w:t>,</w:t>
      </w:r>
      <w:r w:rsidR="00A07786" w:rsidRPr="006B4727">
        <w:rPr>
          <w:sz w:val="22"/>
          <w:szCs w:val="22"/>
        </w:rPr>
        <w:t xml:space="preserve"> 1994</w:t>
      </w:r>
      <w:r w:rsidR="005521D2" w:rsidRPr="006B4727">
        <w:rPr>
          <w:sz w:val="22"/>
          <w:szCs w:val="22"/>
        </w:rPr>
        <w:t>;</w:t>
      </w:r>
      <w:r w:rsidR="00A07786" w:rsidRPr="006B4727">
        <w:rPr>
          <w:sz w:val="22"/>
          <w:szCs w:val="22"/>
        </w:rPr>
        <w:t xml:space="preserve"> Rhee </w:t>
      </w:r>
      <w:r w:rsidR="0030194A" w:rsidRPr="006B4727">
        <w:rPr>
          <w:sz w:val="22"/>
          <w:szCs w:val="22"/>
        </w:rPr>
        <w:t>&amp;</w:t>
      </w:r>
      <w:r w:rsidR="00A07786" w:rsidRPr="006B4727">
        <w:rPr>
          <w:sz w:val="22"/>
          <w:szCs w:val="22"/>
        </w:rPr>
        <w:t xml:space="preserve"> Haunschild</w:t>
      </w:r>
      <w:r w:rsidR="0030194A" w:rsidRPr="006B4727">
        <w:rPr>
          <w:sz w:val="22"/>
          <w:szCs w:val="22"/>
        </w:rPr>
        <w:t>,</w:t>
      </w:r>
      <w:r w:rsidR="00A07786" w:rsidRPr="006B4727">
        <w:rPr>
          <w:sz w:val="22"/>
          <w:szCs w:val="22"/>
        </w:rPr>
        <w:t xml:space="preserve"> 2006</w:t>
      </w:r>
      <w:r w:rsidR="005521D2" w:rsidRPr="006B4727">
        <w:rPr>
          <w:sz w:val="22"/>
          <w:szCs w:val="22"/>
        </w:rPr>
        <w:t>;</w:t>
      </w:r>
      <w:r w:rsidR="00D211EA" w:rsidRPr="006B4727">
        <w:rPr>
          <w:sz w:val="22"/>
          <w:szCs w:val="22"/>
        </w:rPr>
        <w:t xml:space="preserve"> </w:t>
      </w:r>
      <w:r w:rsidR="00A07786" w:rsidRPr="006B4727">
        <w:rPr>
          <w:sz w:val="22"/>
          <w:szCs w:val="22"/>
        </w:rPr>
        <w:t xml:space="preserve">Wheatley </w:t>
      </w:r>
      <w:r w:rsidR="0030194A" w:rsidRPr="006B4727">
        <w:rPr>
          <w:sz w:val="22"/>
          <w:szCs w:val="22"/>
        </w:rPr>
        <w:t xml:space="preserve">&amp; </w:t>
      </w:r>
      <w:r w:rsidR="00A07786" w:rsidRPr="006B4727">
        <w:rPr>
          <w:sz w:val="22"/>
          <w:szCs w:val="22"/>
        </w:rPr>
        <w:t>Chiu</w:t>
      </w:r>
      <w:r w:rsidR="0030194A" w:rsidRPr="006B4727">
        <w:rPr>
          <w:sz w:val="22"/>
          <w:szCs w:val="22"/>
        </w:rPr>
        <w:t>,</w:t>
      </w:r>
      <w:r w:rsidR="00A07786" w:rsidRPr="006B4727">
        <w:rPr>
          <w:sz w:val="22"/>
          <w:szCs w:val="22"/>
        </w:rPr>
        <w:t xml:space="preserve"> 1977</w:t>
      </w:r>
      <w:r w:rsidR="00200F13" w:rsidRPr="006B4727">
        <w:rPr>
          <w:sz w:val="22"/>
          <w:szCs w:val="22"/>
        </w:rPr>
        <w:t xml:space="preserve">). </w:t>
      </w:r>
      <w:r w:rsidR="00DC01E7" w:rsidRPr="006B4727">
        <w:rPr>
          <w:sz w:val="22"/>
          <w:szCs w:val="22"/>
        </w:rPr>
        <w:t xml:space="preserve">Accordingly, we controlled for firm reputation using </w:t>
      </w:r>
      <w:r w:rsidR="00D508E4" w:rsidRPr="006B4727">
        <w:rPr>
          <w:sz w:val="22"/>
          <w:szCs w:val="22"/>
        </w:rPr>
        <w:t>the measure developed by Rhee and Haunschild (2006)</w:t>
      </w:r>
      <w:r w:rsidR="00B82456" w:rsidRPr="006B4727">
        <w:rPr>
          <w:sz w:val="22"/>
          <w:szCs w:val="22"/>
        </w:rPr>
        <w:t xml:space="preserve">, which </w:t>
      </w:r>
      <w:r w:rsidR="006E0800" w:rsidRPr="006B4727">
        <w:rPr>
          <w:sz w:val="22"/>
          <w:szCs w:val="22"/>
        </w:rPr>
        <w:t>relied on third-party ratings given by technical experts</w:t>
      </w:r>
      <w:r w:rsidR="00A07786" w:rsidRPr="006B4727">
        <w:rPr>
          <w:sz w:val="22"/>
          <w:szCs w:val="22"/>
        </w:rPr>
        <w:t xml:space="preserve"> </w:t>
      </w:r>
      <w:r w:rsidR="00D211EA" w:rsidRPr="006B4727">
        <w:rPr>
          <w:sz w:val="22"/>
          <w:szCs w:val="22"/>
        </w:rPr>
        <w:t xml:space="preserve">and </w:t>
      </w:r>
      <w:r w:rsidR="006E0800" w:rsidRPr="006B4727">
        <w:rPr>
          <w:sz w:val="22"/>
          <w:szCs w:val="22"/>
        </w:rPr>
        <w:t>published by J.D.</w:t>
      </w:r>
      <w:r w:rsidR="00261040" w:rsidRPr="006B4727">
        <w:rPr>
          <w:sz w:val="22"/>
          <w:szCs w:val="22"/>
        </w:rPr>
        <w:t xml:space="preserve"> </w:t>
      </w:r>
      <w:r w:rsidR="006E0800" w:rsidRPr="006B4727">
        <w:rPr>
          <w:sz w:val="22"/>
          <w:szCs w:val="22"/>
        </w:rPr>
        <w:t>Power and Associates</w:t>
      </w:r>
      <w:r w:rsidR="00D211EA" w:rsidRPr="006B4727">
        <w:rPr>
          <w:sz w:val="22"/>
          <w:szCs w:val="22"/>
        </w:rPr>
        <w:t>; these rating</w:t>
      </w:r>
      <w:r w:rsidR="00FF70EF" w:rsidRPr="006B4727">
        <w:rPr>
          <w:sz w:val="22"/>
          <w:szCs w:val="22"/>
        </w:rPr>
        <w:t>s</w:t>
      </w:r>
      <w:r w:rsidR="00D211EA" w:rsidRPr="006B4727">
        <w:rPr>
          <w:sz w:val="22"/>
          <w:szCs w:val="22"/>
        </w:rPr>
        <w:t xml:space="preserve"> also included</w:t>
      </w:r>
      <w:r w:rsidR="00A07786" w:rsidRPr="006B4727">
        <w:rPr>
          <w:sz w:val="22"/>
          <w:szCs w:val="22"/>
        </w:rPr>
        <w:t xml:space="preserve"> </w:t>
      </w:r>
      <w:r w:rsidR="006E0800" w:rsidRPr="006B4727">
        <w:rPr>
          <w:sz w:val="22"/>
          <w:szCs w:val="22"/>
        </w:rPr>
        <w:t xml:space="preserve">consumer feedback obtained from </w:t>
      </w:r>
      <w:r w:rsidR="005A277D" w:rsidRPr="006B4727">
        <w:rPr>
          <w:i/>
          <w:sz w:val="22"/>
          <w:szCs w:val="22"/>
        </w:rPr>
        <w:t>Consumer Reports</w:t>
      </w:r>
      <w:r w:rsidR="00546232" w:rsidRPr="006B4727">
        <w:rPr>
          <w:sz w:val="22"/>
          <w:szCs w:val="22"/>
        </w:rPr>
        <w:t xml:space="preserve">. </w:t>
      </w:r>
    </w:p>
    <w:p w14:paraId="615DF97D" w14:textId="1220CDF6" w:rsidR="00F26237" w:rsidRPr="006B4727" w:rsidRDefault="00475894" w:rsidP="006324E2">
      <w:pPr>
        <w:spacing w:line="480" w:lineRule="auto"/>
        <w:rPr>
          <w:sz w:val="22"/>
          <w:szCs w:val="22"/>
        </w:rPr>
      </w:pPr>
      <w:r w:rsidRPr="006B4727">
        <w:rPr>
          <w:sz w:val="22"/>
          <w:szCs w:val="22"/>
        </w:rPr>
        <w:tab/>
      </w:r>
      <w:r w:rsidR="002E4FF9" w:rsidRPr="006B4727">
        <w:rPr>
          <w:sz w:val="22"/>
          <w:szCs w:val="22"/>
        </w:rPr>
        <w:t xml:space="preserve">Product flaws associated with a new vehicle can be </w:t>
      </w:r>
      <w:r w:rsidR="00A07786" w:rsidRPr="006B4727">
        <w:rPr>
          <w:sz w:val="22"/>
          <w:szCs w:val="22"/>
        </w:rPr>
        <w:t xml:space="preserve">trivial </w:t>
      </w:r>
      <w:r w:rsidR="00F237C9" w:rsidRPr="006B4727">
        <w:rPr>
          <w:sz w:val="22"/>
          <w:szCs w:val="22"/>
        </w:rPr>
        <w:t xml:space="preserve">(e.g., </w:t>
      </w:r>
      <w:r w:rsidR="00C262A3" w:rsidRPr="006B4727">
        <w:rPr>
          <w:sz w:val="22"/>
          <w:szCs w:val="22"/>
        </w:rPr>
        <w:t>an incorrect label on the vehicle</w:t>
      </w:r>
      <w:r w:rsidR="00F237C9" w:rsidRPr="006B4727">
        <w:rPr>
          <w:sz w:val="22"/>
          <w:szCs w:val="22"/>
        </w:rPr>
        <w:t xml:space="preserve">, subject of </w:t>
      </w:r>
      <w:r w:rsidR="009B029F" w:rsidRPr="006B4727">
        <w:rPr>
          <w:sz w:val="22"/>
          <w:szCs w:val="22"/>
        </w:rPr>
        <w:t xml:space="preserve">NHTSA </w:t>
      </w:r>
      <w:r w:rsidR="00F237C9" w:rsidRPr="006B4727">
        <w:rPr>
          <w:sz w:val="22"/>
          <w:szCs w:val="22"/>
        </w:rPr>
        <w:t xml:space="preserve">Recall </w:t>
      </w:r>
      <w:r w:rsidR="009B029F" w:rsidRPr="006B4727">
        <w:rPr>
          <w:sz w:val="22"/>
          <w:szCs w:val="22"/>
        </w:rPr>
        <w:t xml:space="preserve">Campaign Number 10V036000) </w:t>
      </w:r>
      <w:r w:rsidR="002E4FF9" w:rsidRPr="006B4727">
        <w:rPr>
          <w:sz w:val="22"/>
          <w:szCs w:val="22"/>
        </w:rPr>
        <w:t xml:space="preserve">or severe </w:t>
      </w:r>
      <w:r w:rsidR="00F237C9" w:rsidRPr="006B4727">
        <w:rPr>
          <w:sz w:val="22"/>
          <w:szCs w:val="22"/>
        </w:rPr>
        <w:t xml:space="preserve">(e.g., </w:t>
      </w:r>
      <w:r w:rsidR="002E4FF9" w:rsidRPr="006B4727">
        <w:rPr>
          <w:sz w:val="22"/>
          <w:szCs w:val="22"/>
        </w:rPr>
        <w:t>an accelerator pedal</w:t>
      </w:r>
      <w:r w:rsidR="00D211EA" w:rsidRPr="006B4727">
        <w:rPr>
          <w:sz w:val="22"/>
          <w:szCs w:val="22"/>
        </w:rPr>
        <w:t xml:space="preserve"> that</w:t>
      </w:r>
      <w:r w:rsidR="002E4FF9" w:rsidRPr="006B4727">
        <w:rPr>
          <w:sz w:val="22"/>
          <w:szCs w:val="22"/>
        </w:rPr>
        <w:t xml:space="preserve"> fails to decompress</w:t>
      </w:r>
      <w:r w:rsidR="00F237C9" w:rsidRPr="006B4727">
        <w:rPr>
          <w:sz w:val="22"/>
          <w:szCs w:val="22"/>
        </w:rPr>
        <w:t>, subject of</w:t>
      </w:r>
      <w:r w:rsidR="00BE7437" w:rsidRPr="006B4727">
        <w:rPr>
          <w:sz w:val="22"/>
          <w:szCs w:val="22"/>
        </w:rPr>
        <w:t xml:space="preserve"> </w:t>
      </w:r>
      <w:r w:rsidR="006F23AD" w:rsidRPr="006B4727">
        <w:rPr>
          <w:sz w:val="22"/>
          <w:szCs w:val="22"/>
        </w:rPr>
        <w:t>NHTSA Campaign Number 10V017000</w:t>
      </w:r>
      <w:r w:rsidR="00BE7437" w:rsidRPr="006B4727">
        <w:rPr>
          <w:sz w:val="22"/>
          <w:szCs w:val="22"/>
        </w:rPr>
        <w:t>)</w:t>
      </w:r>
      <w:r w:rsidR="002E4FF9" w:rsidRPr="006B4727">
        <w:rPr>
          <w:sz w:val="22"/>
          <w:szCs w:val="22"/>
        </w:rPr>
        <w:t>. Severe recalls have the potential</w:t>
      </w:r>
      <w:r w:rsidR="0066244C" w:rsidRPr="006B4727">
        <w:rPr>
          <w:sz w:val="22"/>
          <w:szCs w:val="22"/>
        </w:rPr>
        <w:t xml:space="preserve"> to</w:t>
      </w:r>
      <w:r w:rsidR="002E4FF9" w:rsidRPr="006B4727">
        <w:rPr>
          <w:sz w:val="22"/>
          <w:szCs w:val="22"/>
        </w:rPr>
        <w:t xml:space="preserve"> </w:t>
      </w:r>
      <w:r w:rsidR="00D211EA" w:rsidRPr="006B4727">
        <w:rPr>
          <w:sz w:val="22"/>
          <w:szCs w:val="22"/>
        </w:rPr>
        <w:t>not only</w:t>
      </w:r>
      <w:r w:rsidR="002E4FF9" w:rsidRPr="006B4727">
        <w:rPr>
          <w:sz w:val="22"/>
          <w:szCs w:val="22"/>
        </w:rPr>
        <w:t xml:space="preserve"> </w:t>
      </w:r>
      <w:r w:rsidR="00261040" w:rsidRPr="006B4727">
        <w:rPr>
          <w:sz w:val="22"/>
          <w:szCs w:val="22"/>
        </w:rPr>
        <w:t xml:space="preserve">make </w:t>
      </w:r>
      <w:r w:rsidR="002E4FF9" w:rsidRPr="006B4727">
        <w:rPr>
          <w:sz w:val="22"/>
          <w:szCs w:val="22"/>
        </w:rPr>
        <w:t xml:space="preserve">the vehicle inoperable but </w:t>
      </w:r>
      <w:r w:rsidR="00261040" w:rsidRPr="006B4727">
        <w:rPr>
          <w:sz w:val="22"/>
          <w:szCs w:val="22"/>
        </w:rPr>
        <w:t>also</w:t>
      </w:r>
      <w:r w:rsidR="002E4FF9" w:rsidRPr="006B4727">
        <w:rPr>
          <w:sz w:val="22"/>
          <w:szCs w:val="22"/>
        </w:rPr>
        <w:t xml:space="preserve"> </w:t>
      </w:r>
      <w:r w:rsidR="00D211EA" w:rsidRPr="006B4727">
        <w:rPr>
          <w:sz w:val="22"/>
          <w:szCs w:val="22"/>
        </w:rPr>
        <w:t xml:space="preserve">to </w:t>
      </w:r>
      <w:r w:rsidR="002E4FF9" w:rsidRPr="006B4727">
        <w:rPr>
          <w:sz w:val="22"/>
          <w:szCs w:val="22"/>
        </w:rPr>
        <w:t xml:space="preserve">cause </w:t>
      </w:r>
      <w:r w:rsidR="00C53980" w:rsidRPr="006B4727">
        <w:rPr>
          <w:sz w:val="22"/>
          <w:szCs w:val="22"/>
        </w:rPr>
        <w:t xml:space="preserve">accidents </w:t>
      </w:r>
      <w:r w:rsidR="00D211EA" w:rsidRPr="006B4727">
        <w:rPr>
          <w:sz w:val="22"/>
          <w:szCs w:val="22"/>
        </w:rPr>
        <w:t xml:space="preserve">that can </w:t>
      </w:r>
      <w:r w:rsidR="00F237C9" w:rsidRPr="006B4727">
        <w:rPr>
          <w:sz w:val="22"/>
          <w:szCs w:val="22"/>
        </w:rPr>
        <w:t>cause</w:t>
      </w:r>
      <w:r w:rsidR="00C53980" w:rsidRPr="006B4727">
        <w:rPr>
          <w:sz w:val="22"/>
          <w:szCs w:val="22"/>
        </w:rPr>
        <w:t xml:space="preserve"> </w:t>
      </w:r>
      <w:r w:rsidR="002E4FF9" w:rsidRPr="006B4727">
        <w:rPr>
          <w:sz w:val="22"/>
          <w:szCs w:val="22"/>
        </w:rPr>
        <w:t>injur</w:t>
      </w:r>
      <w:r w:rsidR="00D211EA" w:rsidRPr="006B4727">
        <w:rPr>
          <w:sz w:val="22"/>
          <w:szCs w:val="22"/>
        </w:rPr>
        <w:t>y</w:t>
      </w:r>
      <w:r w:rsidR="002E4FF9" w:rsidRPr="006B4727">
        <w:rPr>
          <w:sz w:val="22"/>
          <w:szCs w:val="22"/>
        </w:rPr>
        <w:t xml:space="preserve"> or even death. </w:t>
      </w:r>
      <w:r w:rsidR="00A07786" w:rsidRPr="006B4727">
        <w:rPr>
          <w:sz w:val="22"/>
          <w:szCs w:val="22"/>
        </w:rPr>
        <w:t>Accordingly</w:t>
      </w:r>
      <w:r w:rsidR="002E4FF9" w:rsidRPr="006B4727">
        <w:rPr>
          <w:sz w:val="22"/>
          <w:szCs w:val="22"/>
        </w:rPr>
        <w:t>, severe recalls capture the attention of consumers and the news media</w:t>
      </w:r>
      <w:r w:rsidR="00A07786" w:rsidRPr="006B4727">
        <w:rPr>
          <w:sz w:val="22"/>
          <w:szCs w:val="22"/>
        </w:rPr>
        <w:t>,</w:t>
      </w:r>
      <w:r w:rsidR="002E4FF9" w:rsidRPr="006B4727">
        <w:rPr>
          <w:sz w:val="22"/>
          <w:szCs w:val="22"/>
        </w:rPr>
        <w:t xml:space="preserve"> often translat</w:t>
      </w:r>
      <w:r w:rsidR="00A443C6" w:rsidRPr="006B4727">
        <w:rPr>
          <w:sz w:val="22"/>
          <w:szCs w:val="22"/>
        </w:rPr>
        <w:t>ing</w:t>
      </w:r>
      <w:r w:rsidR="002E4FF9" w:rsidRPr="006B4727">
        <w:rPr>
          <w:sz w:val="22"/>
          <w:szCs w:val="22"/>
        </w:rPr>
        <w:t xml:space="preserve"> into lost sales</w:t>
      </w:r>
      <w:r w:rsidR="00D211EA" w:rsidRPr="006B4727">
        <w:rPr>
          <w:sz w:val="22"/>
          <w:szCs w:val="22"/>
        </w:rPr>
        <w:t xml:space="preserve"> for the automobile manufacturer</w:t>
      </w:r>
      <w:r w:rsidR="002E4FF9" w:rsidRPr="006B4727">
        <w:rPr>
          <w:sz w:val="22"/>
          <w:szCs w:val="22"/>
        </w:rPr>
        <w:t xml:space="preserve"> (Rhee </w:t>
      </w:r>
      <w:r w:rsidR="0030194A" w:rsidRPr="006B4727">
        <w:rPr>
          <w:sz w:val="22"/>
          <w:szCs w:val="22"/>
        </w:rPr>
        <w:t>&amp;</w:t>
      </w:r>
      <w:r w:rsidR="002E4FF9" w:rsidRPr="006B4727">
        <w:rPr>
          <w:sz w:val="22"/>
          <w:szCs w:val="22"/>
        </w:rPr>
        <w:t xml:space="preserve"> Haunschild</w:t>
      </w:r>
      <w:r w:rsidR="005521D2" w:rsidRPr="006B4727">
        <w:rPr>
          <w:sz w:val="22"/>
          <w:szCs w:val="22"/>
        </w:rPr>
        <w:t>,</w:t>
      </w:r>
      <w:r w:rsidR="002E4FF9" w:rsidRPr="006B4727">
        <w:rPr>
          <w:sz w:val="22"/>
          <w:szCs w:val="22"/>
        </w:rPr>
        <w:t xml:space="preserve"> 2006)</w:t>
      </w:r>
      <w:r w:rsidR="00A443C6" w:rsidRPr="006B4727">
        <w:rPr>
          <w:sz w:val="22"/>
          <w:szCs w:val="22"/>
        </w:rPr>
        <w:t xml:space="preserve">. </w:t>
      </w:r>
      <w:r w:rsidR="00F237C9" w:rsidRPr="006B4727">
        <w:rPr>
          <w:sz w:val="22"/>
          <w:szCs w:val="22"/>
        </w:rPr>
        <w:t>Therefore</w:t>
      </w:r>
      <w:r w:rsidR="00A07786" w:rsidRPr="006B4727">
        <w:rPr>
          <w:sz w:val="22"/>
          <w:szCs w:val="22"/>
        </w:rPr>
        <w:t xml:space="preserve">, </w:t>
      </w:r>
      <w:r w:rsidR="002E4FF9" w:rsidRPr="006B4727">
        <w:rPr>
          <w:sz w:val="22"/>
          <w:szCs w:val="22"/>
        </w:rPr>
        <w:t>firm</w:t>
      </w:r>
      <w:r w:rsidR="00A07786" w:rsidRPr="006B4727">
        <w:rPr>
          <w:sz w:val="22"/>
          <w:szCs w:val="22"/>
        </w:rPr>
        <w:t>s</w:t>
      </w:r>
      <w:r w:rsidR="002E4FF9" w:rsidRPr="006B4727">
        <w:rPr>
          <w:sz w:val="22"/>
          <w:szCs w:val="22"/>
        </w:rPr>
        <w:t xml:space="preserve"> </w:t>
      </w:r>
      <w:r w:rsidR="00A07786" w:rsidRPr="006B4727">
        <w:rPr>
          <w:sz w:val="22"/>
          <w:szCs w:val="22"/>
        </w:rPr>
        <w:t xml:space="preserve">are more likely to </w:t>
      </w:r>
      <w:r w:rsidR="002E4FF9" w:rsidRPr="006B4727">
        <w:rPr>
          <w:sz w:val="22"/>
          <w:szCs w:val="22"/>
        </w:rPr>
        <w:t>act quickly when a severe recall is suspected.</w:t>
      </w:r>
      <w:r w:rsidR="00C05E9E" w:rsidRPr="006B4727">
        <w:rPr>
          <w:sz w:val="22"/>
          <w:szCs w:val="22"/>
        </w:rPr>
        <w:t xml:space="preserve"> </w:t>
      </w:r>
      <w:r w:rsidR="00911755" w:rsidRPr="006B4727">
        <w:rPr>
          <w:sz w:val="22"/>
          <w:szCs w:val="22"/>
        </w:rPr>
        <w:t xml:space="preserve">We read </w:t>
      </w:r>
      <w:r w:rsidR="00523A85" w:rsidRPr="006B4727">
        <w:rPr>
          <w:sz w:val="22"/>
          <w:szCs w:val="22"/>
        </w:rPr>
        <w:t xml:space="preserve">each recall notice </w:t>
      </w:r>
      <w:r w:rsidR="00911755" w:rsidRPr="006B4727">
        <w:rPr>
          <w:sz w:val="22"/>
          <w:szCs w:val="22"/>
        </w:rPr>
        <w:t>in our sample and coded the severity of the recall by examining the</w:t>
      </w:r>
      <w:r w:rsidR="007B19D6" w:rsidRPr="006B4727">
        <w:rPr>
          <w:sz w:val="22"/>
          <w:szCs w:val="22"/>
        </w:rPr>
        <w:t xml:space="preserve"> description of the flaw that caused the recall and the potential </w:t>
      </w:r>
      <w:r w:rsidR="007B19D6" w:rsidRPr="006B4727">
        <w:rPr>
          <w:sz w:val="22"/>
          <w:szCs w:val="22"/>
        </w:rPr>
        <w:lastRenderedPageBreak/>
        <w:t xml:space="preserve">consequences of </w:t>
      </w:r>
      <w:r w:rsidR="00911755" w:rsidRPr="006B4727">
        <w:rPr>
          <w:sz w:val="22"/>
          <w:szCs w:val="22"/>
        </w:rPr>
        <w:t xml:space="preserve">such </w:t>
      </w:r>
      <w:r w:rsidR="007B19D6" w:rsidRPr="006B4727">
        <w:rPr>
          <w:sz w:val="22"/>
          <w:szCs w:val="22"/>
        </w:rPr>
        <w:t xml:space="preserve">flaw.  </w:t>
      </w:r>
      <w:r w:rsidR="00911755" w:rsidRPr="006B4727">
        <w:rPr>
          <w:sz w:val="22"/>
          <w:szCs w:val="22"/>
        </w:rPr>
        <w:t>Specifically, we developed a</w:t>
      </w:r>
      <w:r w:rsidR="007B19D6" w:rsidRPr="006B4727">
        <w:rPr>
          <w:sz w:val="22"/>
          <w:szCs w:val="22"/>
        </w:rPr>
        <w:t xml:space="preserve"> system of classification based on a codification of keywords </w:t>
      </w:r>
      <w:r w:rsidR="00911755" w:rsidRPr="006B4727">
        <w:rPr>
          <w:sz w:val="22"/>
          <w:szCs w:val="22"/>
        </w:rPr>
        <w:t>to capture</w:t>
      </w:r>
      <w:r w:rsidR="007B19D6" w:rsidRPr="006B4727">
        <w:rPr>
          <w:sz w:val="22"/>
          <w:szCs w:val="22"/>
        </w:rPr>
        <w:t xml:space="preserve"> the severity of each recall</w:t>
      </w:r>
      <w:r w:rsidR="00220886" w:rsidRPr="006B4727">
        <w:rPr>
          <w:sz w:val="22"/>
          <w:szCs w:val="22"/>
        </w:rPr>
        <w:t xml:space="preserve"> on a </w:t>
      </w:r>
      <w:r w:rsidR="00DC01E7" w:rsidRPr="006B4727">
        <w:rPr>
          <w:sz w:val="22"/>
          <w:szCs w:val="22"/>
        </w:rPr>
        <w:t xml:space="preserve">three-point </w:t>
      </w:r>
      <w:r w:rsidR="00220886" w:rsidRPr="006B4727">
        <w:rPr>
          <w:sz w:val="22"/>
          <w:szCs w:val="22"/>
        </w:rPr>
        <w:t xml:space="preserve">scale </w:t>
      </w:r>
      <w:r w:rsidR="00DC01E7" w:rsidRPr="006B4727">
        <w:rPr>
          <w:sz w:val="22"/>
          <w:szCs w:val="22"/>
        </w:rPr>
        <w:t>(1 to denote least severe</w:t>
      </w:r>
      <w:r w:rsidR="00D211EA" w:rsidRPr="006B4727">
        <w:rPr>
          <w:sz w:val="22"/>
          <w:szCs w:val="22"/>
        </w:rPr>
        <w:t>,</w:t>
      </w:r>
      <w:r w:rsidR="00DC01E7" w:rsidRPr="006B4727">
        <w:rPr>
          <w:sz w:val="22"/>
          <w:szCs w:val="22"/>
        </w:rPr>
        <w:t xml:space="preserve"> and 3 to </w:t>
      </w:r>
      <w:r w:rsidR="00497D4A" w:rsidRPr="006B4727">
        <w:rPr>
          <w:sz w:val="22"/>
          <w:szCs w:val="22"/>
        </w:rPr>
        <w:t xml:space="preserve">denote </w:t>
      </w:r>
      <w:r w:rsidR="00220886" w:rsidRPr="006B4727">
        <w:rPr>
          <w:sz w:val="22"/>
          <w:szCs w:val="22"/>
        </w:rPr>
        <w:t>most severe</w:t>
      </w:r>
      <w:r w:rsidR="00DC01E7" w:rsidRPr="006B4727">
        <w:rPr>
          <w:sz w:val="22"/>
          <w:szCs w:val="22"/>
        </w:rPr>
        <w:t>).</w:t>
      </w:r>
      <w:r w:rsidR="00220886" w:rsidRPr="006B4727">
        <w:rPr>
          <w:sz w:val="22"/>
          <w:szCs w:val="22"/>
        </w:rPr>
        <w:t xml:space="preserve"> </w:t>
      </w:r>
      <w:r w:rsidR="00DC01E7" w:rsidRPr="006B4727">
        <w:rPr>
          <w:sz w:val="22"/>
          <w:szCs w:val="22"/>
        </w:rPr>
        <w:t xml:space="preserve">Recalls that involved </w:t>
      </w:r>
      <w:r w:rsidR="007B19D6" w:rsidRPr="006B4727">
        <w:rPr>
          <w:sz w:val="22"/>
          <w:szCs w:val="22"/>
        </w:rPr>
        <w:t xml:space="preserve">the possibility of death were given the highest score </w:t>
      </w:r>
      <w:r w:rsidR="00220886" w:rsidRPr="006B4727">
        <w:rPr>
          <w:sz w:val="22"/>
          <w:szCs w:val="22"/>
        </w:rPr>
        <w:t>(</w:t>
      </w:r>
      <w:r w:rsidR="00D211EA" w:rsidRPr="006B4727">
        <w:rPr>
          <w:sz w:val="22"/>
          <w:szCs w:val="22"/>
        </w:rPr>
        <w:t>3</w:t>
      </w:r>
      <w:r w:rsidR="00220886" w:rsidRPr="006B4727">
        <w:rPr>
          <w:sz w:val="22"/>
          <w:szCs w:val="22"/>
        </w:rPr>
        <w:t xml:space="preserve">) </w:t>
      </w:r>
      <w:r w:rsidR="007B19D6" w:rsidRPr="006B4727">
        <w:rPr>
          <w:sz w:val="22"/>
          <w:szCs w:val="22"/>
        </w:rPr>
        <w:t>in our classification</w:t>
      </w:r>
      <w:r w:rsidR="00CB0BC9" w:rsidRPr="006B4727">
        <w:rPr>
          <w:sz w:val="22"/>
          <w:szCs w:val="22"/>
        </w:rPr>
        <w:t>,</w:t>
      </w:r>
      <w:r w:rsidR="007B19D6" w:rsidRPr="006B4727">
        <w:rPr>
          <w:sz w:val="22"/>
          <w:szCs w:val="22"/>
        </w:rPr>
        <w:t xml:space="preserve"> while those </w:t>
      </w:r>
      <w:r w:rsidR="00CB0BC9" w:rsidRPr="006B4727">
        <w:rPr>
          <w:sz w:val="22"/>
          <w:szCs w:val="22"/>
        </w:rPr>
        <w:t>with</w:t>
      </w:r>
      <w:r w:rsidR="007B19D6" w:rsidRPr="006B4727">
        <w:rPr>
          <w:sz w:val="22"/>
          <w:szCs w:val="22"/>
        </w:rPr>
        <w:t xml:space="preserve"> the possibility of injury or fire were given </w:t>
      </w:r>
      <w:r w:rsidR="00C53980" w:rsidRPr="006B4727">
        <w:rPr>
          <w:sz w:val="22"/>
          <w:szCs w:val="22"/>
        </w:rPr>
        <w:t xml:space="preserve">a score of </w:t>
      </w:r>
      <w:r w:rsidR="00D211EA" w:rsidRPr="006B4727">
        <w:rPr>
          <w:sz w:val="22"/>
          <w:szCs w:val="22"/>
        </w:rPr>
        <w:t>2</w:t>
      </w:r>
      <w:r w:rsidR="00C53980" w:rsidRPr="006B4727">
        <w:rPr>
          <w:sz w:val="22"/>
          <w:szCs w:val="22"/>
        </w:rPr>
        <w:t xml:space="preserve">. </w:t>
      </w:r>
      <w:r w:rsidR="00D47068" w:rsidRPr="006B4727">
        <w:rPr>
          <w:sz w:val="22"/>
          <w:szCs w:val="22"/>
        </w:rPr>
        <w:t xml:space="preserve">If the recall </w:t>
      </w:r>
      <w:r w:rsidR="00C53980" w:rsidRPr="006B4727">
        <w:rPr>
          <w:sz w:val="22"/>
          <w:szCs w:val="22"/>
        </w:rPr>
        <w:t xml:space="preserve">notice </w:t>
      </w:r>
      <w:r w:rsidR="00D47068" w:rsidRPr="006B4727">
        <w:rPr>
          <w:sz w:val="22"/>
          <w:szCs w:val="22"/>
        </w:rPr>
        <w:t>did not make any mention of personal injury that could result from the recall</w:t>
      </w:r>
      <w:r w:rsidR="00D211EA" w:rsidRPr="006B4727">
        <w:rPr>
          <w:sz w:val="22"/>
          <w:szCs w:val="22"/>
        </w:rPr>
        <w:t>,</w:t>
      </w:r>
      <w:r w:rsidR="00D47068" w:rsidRPr="006B4727">
        <w:rPr>
          <w:sz w:val="22"/>
          <w:szCs w:val="22"/>
        </w:rPr>
        <w:t xml:space="preserve"> then it was given a score of 1</w:t>
      </w:r>
      <w:r w:rsidR="005521D2" w:rsidRPr="006B4727">
        <w:rPr>
          <w:sz w:val="22"/>
          <w:szCs w:val="22"/>
        </w:rPr>
        <w:t>.</w:t>
      </w:r>
      <w:r w:rsidR="00D47068" w:rsidRPr="006B4727">
        <w:rPr>
          <w:rStyle w:val="FootnoteReference"/>
          <w:sz w:val="22"/>
          <w:szCs w:val="22"/>
        </w:rPr>
        <w:footnoteReference w:id="4"/>
      </w:r>
      <w:r w:rsidR="007B19D6" w:rsidRPr="006B4727">
        <w:rPr>
          <w:sz w:val="22"/>
          <w:szCs w:val="22"/>
        </w:rPr>
        <w:t xml:space="preserve">  One of the authors of </w:t>
      </w:r>
      <w:r w:rsidR="00497D4A" w:rsidRPr="006B4727">
        <w:rPr>
          <w:sz w:val="22"/>
          <w:szCs w:val="22"/>
        </w:rPr>
        <w:t>this</w:t>
      </w:r>
      <w:r w:rsidR="007B19D6" w:rsidRPr="006B4727">
        <w:rPr>
          <w:sz w:val="22"/>
          <w:szCs w:val="22"/>
        </w:rPr>
        <w:t xml:space="preserve"> paper </w:t>
      </w:r>
      <w:r w:rsidR="00F237C9" w:rsidRPr="006B4727">
        <w:rPr>
          <w:sz w:val="22"/>
          <w:szCs w:val="22"/>
        </w:rPr>
        <w:t xml:space="preserve">coded each recall notice for its severity, using the above </w:t>
      </w:r>
      <w:r w:rsidR="00C53980" w:rsidRPr="006B4727">
        <w:rPr>
          <w:sz w:val="22"/>
          <w:szCs w:val="22"/>
        </w:rPr>
        <w:t xml:space="preserve">scheme. </w:t>
      </w:r>
      <w:r w:rsidR="007B19D6" w:rsidRPr="006B4727">
        <w:rPr>
          <w:sz w:val="22"/>
          <w:szCs w:val="22"/>
        </w:rPr>
        <w:t xml:space="preserve">A research assistant </w:t>
      </w:r>
      <w:r w:rsidR="00D211EA" w:rsidRPr="006B4727">
        <w:rPr>
          <w:sz w:val="22"/>
          <w:szCs w:val="22"/>
        </w:rPr>
        <w:t xml:space="preserve">who was </w:t>
      </w:r>
      <w:r w:rsidR="007B19D6" w:rsidRPr="006B4727">
        <w:rPr>
          <w:sz w:val="22"/>
          <w:szCs w:val="22"/>
        </w:rPr>
        <w:t>blind to the hypotheses and research question of the present paper independently evaluated each recall notice as well. Both classifications were then compared</w:t>
      </w:r>
      <w:r w:rsidR="005521D2" w:rsidRPr="006B4727">
        <w:rPr>
          <w:sz w:val="22"/>
          <w:szCs w:val="22"/>
        </w:rPr>
        <w:t>,</w:t>
      </w:r>
      <w:r w:rsidR="007B19D6" w:rsidRPr="006B4727">
        <w:rPr>
          <w:sz w:val="22"/>
          <w:szCs w:val="22"/>
        </w:rPr>
        <w:t xml:space="preserve"> and </w:t>
      </w:r>
      <w:r w:rsidR="00D211EA" w:rsidRPr="006B4727">
        <w:rPr>
          <w:sz w:val="22"/>
          <w:szCs w:val="22"/>
        </w:rPr>
        <w:t xml:space="preserve">any </w:t>
      </w:r>
      <w:r w:rsidR="007B19D6" w:rsidRPr="006B4727">
        <w:rPr>
          <w:sz w:val="22"/>
          <w:szCs w:val="22"/>
        </w:rPr>
        <w:t>discrepancies between the separate evaluations were resolved through discussion</w:t>
      </w:r>
      <w:r w:rsidR="00C73B18" w:rsidRPr="006B4727">
        <w:rPr>
          <w:sz w:val="22"/>
          <w:szCs w:val="22"/>
        </w:rPr>
        <w:t>.</w:t>
      </w:r>
    </w:p>
    <w:p w14:paraId="6D392CB7" w14:textId="08F82047" w:rsidR="00833525" w:rsidRPr="006B4727" w:rsidRDefault="00CE62EF" w:rsidP="006324E2">
      <w:pPr>
        <w:spacing w:line="480" w:lineRule="auto"/>
        <w:rPr>
          <w:sz w:val="22"/>
          <w:szCs w:val="22"/>
        </w:rPr>
      </w:pPr>
      <w:r w:rsidRPr="006B4727">
        <w:rPr>
          <w:sz w:val="22"/>
          <w:szCs w:val="22"/>
        </w:rPr>
        <w:tab/>
      </w:r>
      <w:r w:rsidR="002E4FF9" w:rsidRPr="006B4727">
        <w:rPr>
          <w:sz w:val="22"/>
          <w:szCs w:val="22"/>
        </w:rPr>
        <w:t xml:space="preserve">Similar to the severity of the recall, the size of </w:t>
      </w:r>
      <w:r w:rsidR="00C05E9E" w:rsidRPr="006B4727">
        <w:rPr>
          <w:sz w:val="22"/>
          <w:szCs w:val="22"/>
        </w:rPr>
        <w:t xml:space="preserve">a </w:t>
      </w:r>
      <w:r w:rsidR="002E4FF9" w:rsidRPr="006B4727">
        <w:rPr>
          <w:sz w:val="22"/>
          <w:szCs w:val="22"/>
        </w:rPr>
        <w:t xml:space="preserve">recall is likely to </w:t>
      </w:r>
      <w:r w:rsidR="00C05E9E" w:rsidRPr="006B4727">
        <w:rPr>
          <w:sz w:val="22"/>
          <w:szCs w:val="22"/>
        </w:rPr>
        <w:t>affect a firm’s responsiveness</w:t>
      </w:r>
      <w:r w:rsidR="00D211EA" w:rsidRPr="006B4727">
        <w:rPr>
          <w:sz w:val="22"/>
          <w:szCs w:val="22"/>
        </w:rPr>
        <w:t>,</w:t>
      </w:r>
      <w:r w:rsidR="00C05E9E" w:rsidRPr="006B4727">
        <w:rPr>
          <w:sz w:val="22"/>
          <w:szCs w:val="22"/>
        </w:rPr>
        <w:t xml:space="preserve"> given the need </w:t>
      </w:r>
      <w:r w:rsidR="002E4FF9" w:rsidRPr="006B4727">
        <w:rPr>
          <w:sz w:val="22"/>
          <w:szCs w:val="22"/>
        </w:rPr>
        <w:t xml:space="preserve">to mobilize resources </w:t>
      </w:r>
      <w:r w:rsidR="00C05E9E" w:rsidRPr="006B4727">
        <w:rPr>
          <w:sz w:val="22"/>
          <w:szCs w:val="22"/>
        </w:rPr>
        <w:t>towards communicating the recall, repairing the vehicles, and managing stakeholder reactions. Therefore, we controlled for t</w:t>
      </w:r>
      <w:r w:rsidR="003874A4" w:rsidRPr="006B4727">
        <w:rPr>
          <w:sz w:val="22"/>
          <w:szCs w:val="22"/>
        </w:rPr>
        <w:t>he size of the recall</w:t>
      </w:r>
      <w:r w:rsidR="00C05E9E" w:rsidRPr="006B4727">
        <w:rPr>
          <w:sz w:val="22"/>
          <w:szCs w:val="22"/>
        </w:rPr>
        <w:t>,</w:t>
      </w:r>
      <w:r w:rsidR="003874A4" w:rsidRPr="006B4727">
        <w:rPr>
          <w:sz w:val="22"/>
          <w:szCs w:val="22"/>
        </w:rPr>
        <w:t xml:space="preserve"> </w:t>
      </w:r>
      <w:r w:rsidR="00C05E9E" w:rsidRPr="006B4727">
        <w:rPr>
          <w:sz w:val="22"/>
          <w:szCs w:val="22"/>
        </w:rPr>
        <w:t xml:space="preserve">measured as the number of vehicles recalled. This information was </w:t>
      </w:r>
      <w:r w:rsidR="003874A4" w:rsidRPr="006B4727">
        <w:rPr>
          <w:sz w:val="22"/>
          <w:szCs w:val="22"/>
        </w:rPr>
        <w:t xml:space="preserve">captured </w:t>
      </w:r>
      <w:r w:rsidR="00C05E9E" w:rsidRPr="006B4727">
        <w:rPr>
          <w:sz w:val="22"/>
          <w:szCs w:val="22"/>
        </w:rPr>
        <w:t xml:space="preserve">from </w:t>
      </w:r>
      <w:r w:rsidR="003874A4" w:rsidRPr="006B4727">
        <w:rPr>
          <w:sz w:val="22"/>
          <w:szCs w:val="22"/>
        </w:rPr>
        <w:t xml:space="preserve">the </w:t>
      </w:r>
      <w:r w:rsidR="00911755" w:rsidRPr="006B4727">
        <w:rPr>
          <w:sz w:val="22"/>
          <w:szCs w:val="22"/>
        </w:rPr>
        <w:t xml:space="preserve">recall </w:t>
      </w:r>
      <w:r w:rsidR="003874A4" w:rsidRPr="006B4727">
        <w:rPr>
          <w:sz w:val="22"/>
          <w:szCs w:val="22"/>
        </w:rPr>
        <w:t>notices given by</w:t>
      </w:r>
      <w:r w:rsidR="00F00FA3" w:rsidRPr="006B4727">
        <w:rPr>
          <w:sz w:val="22"/>
          <w:szCs w:val="22"/>
        </w:rPr>
        <w:t xml:space="preserve"> the respective agencies in each of the four countries.</w:t>
      </w:r>
      <w:r w:rsidR="00857685" w:rsidRPr="006B4727">
        <w:rPr>
          <w:rStyle w:val="FootnoteReference"/>
          <w:sz w:val="22"/>
          <w:szCs w:val="22"/>
        </w:rPr>
        <w:footnoteReference w:id="5"/>
      </w:r>
      <w:r w:rsidR="00AA2135" w:rsidRPr="006B4727">
        <w:rPr>
          <w:sz w:val="22"/>
          <w:szCs w:val="22"/>
        </w:rPr>
        <w:t xml:space="preserve"> </w:t>
      </w:r>
      <w:r w:rsidR="003874A4" w:rsidRPr="006B4727">
        <w:rPr>
          <w:sz w:val="22"/>
          <w:szCs w:val="22"/>
        </w:rPr>
        <w:t xml:space="preserve">The </w:t>
      </w:r>
      <w:r w:rsidR="00C05E9E" w:rsidRPr="006B4727">
        <w:rPr>
          <w:sz w:val="22"/>
          <w:szCs w:val="22"/>
        </w:rPr>
        <w:t xml:space="preserve">number </w:t>
      </w:r>
      <w:r w:rsidR="003874A4" w:rsidRPr="006B4727">
        <w:rPr>
          <w:sz w:val="22"/>
          <w:szCs w:val="22"/>
        </w:rPr>
        <w:t xml:space="preserve">of vehicles subject to a recall ranged from a low of </w:t>
      </w:r>
      <w:r w:rsidR="00E45768" w:rsidRPr="006B4727">
        <w:rPr>
          <w:sz w:val="22"/>
          <w:szCs w:val="22"/>
        </w:rPr>
        <w:t>16</w:t>
      </w:r>
      <w:r w:rsidR="0066244C" w:rsidRPr="006B4727">
        <w:rPr>
          <w:sz w:val="22"/>
          <w:szCs w:val="22"/>
        </w:rPr>
        <w:t xml:space="preserve"> cars to a high of 4.4 million cars</w:t>
      </w:r>
      <w:r w:rsidR="003874A4" w:rsidRPr="006B4727">
        <w:rPr>
          <w:sz w:val="22"/>
          <w:szCs w:val="22"/>
        </w:rPr>
        <w:t xml:space="preserve">.  </w:t>
      </w:r>
      <w:r w:rsidR="00857685" w:rsidRPr="006B4727">
        <w:rPr>
          <w:sz w:val="22"/>
          <w:szCs w:val="22"/>
        </w:rPr>
        <w:t>To</w:t>
      </w:r>
      <w:r w:rsidR="003874A4" w:rsidRPr="006B4727">
        <w:rPr>
          <w:sz w:val="22"/>
          <w:szCs w:val="22"/>
        </w:rPr>
        <w:t xml:space="preserve"> enhance comparability</w:t>
      </w:r>
      <w:r w:rsidR="00C05E9E" w:rsidRPr="006B4727">
        <w:rPr>
          <w:sz w:val="22"/>
          <w:szCs w:val="22"/>
        </w:rPr>
        <w:t>,</w:t>
      </w:r>
      <w:r w:rsidR="003874A4" w:rsidRPr="006B4727">
        <w:rPr>
          <w:sz w:val="22"/>
          <w:szCs w:val="22"/>
        </w:rPr>
        <w:t xml:space="preserve"> we</w:t>
      </w:r>
      <w:r w:rsidR="002C18E7" w:rsidRPr="006B4727">
        <w:rPr>
          <w:sz w:val="22"/>
          <w:szCs w:val="22"/>
        </w:rPr>
        <w:t xml:space="preserve"> rescaled the </w:t>
      </w:r>
      <w:r w:rsidR="0066244C" w:rsidRPr="006B4727">
        <w:rPr>
          <w:sz w:val="22"/>
          <w:szCs w:val="22"/>
        </w:rPr>
        <w:t xml:space="preserve">size </w:t>
      </w:r>
      <w:r w:rsidR="002C18E7" w:rsidRPr="006B4727">
        <w:rPr>
          <w:sz w:val="22"/>
          <w:szCs w:val="22"/>
        </w:rPr>
        <w:t>of the recall by calculating the natural logarithm</w:t>
      </w:r>
      <w:r w:rsidR="003874A4" w:rsidRPr="006B4727">
        <w:rPr>
          <w:sz w:val="22"/>
          <w:szCs w:val="22"/>
        </w:rPr>
        <w:t xml:space="preserve"> of </w:t>
      </w:r>
      <w:r w:rsidR="00C05E9E" w:rsidRPr="006B4727">
        <w:rPr>
          <w:sz w:val="22"/>
          <w:szCs w:val="22"/>
        </w:rPr>
        <w:t xml:space="preserve">the size of </w:t>
      </w:r>
      <w:r w:rsidR="003874A4" w:rsidRPr="006B4727">
        <w:rPr>
          <w:sz w:val="22"/>
          <w:szCs w:val="22"/>
        </w:rPr>
        <w:t>each recall.</w:t>
      </w:r>
      <w:r w:rsidR="00885F6B" w:rsidRPr="006B4727">
        <w:rPr>
          <w:sz w:val="22"/>
          <w:szCs w:val="22"/>
        </w:rPr>
        <w:t xml:space="preserve"> This </w:t>
      </w:r>
      <w:r w:rsidR="00D211EA" w:rsidRPr="006B4727">
        <w:rPr>
          <w:sz w:val="22"/>
          <w:szCs w:val="22"/>
        </w:rPr>
        <w:t xml:space="preserve">process </w:t>
      </w:r>
      <w:r w:rsidR="00885F6B" w:rsidRPr="006B4727">
        <w:rPr>
          <w:sz w:val="22"/>
          <w:szCs w:val="22"/>
        </w:rPr>
        <w:t>enabled a smoothing of the survival curve.</w:t>
      </w:r>
    </w:p>
    <w:p w14:paraId="69673931" w14:textId="05B83FA5" w:rsidR="00B6782B" w:rsidRPr="006B4727" w:rsidRDefault="00B6782B" w:rsidP="006324E2">
      <w:pPr>
        <w:spacing w:line="480" w:lineRule="auto"/>
        <w:ind w:firstLine="720"/>
        <w:rPr>
          <w:sz w:val="22"/>
          <w:szCs w:val="22"/>
        </w:rPr>
      </w:pPr>
      <w:proofErr w:type="spellStart"/>
      <w:r w:rsidRPr="006B4727">
        <w:rPr>
          <w:sz w:val="22"/>
          <w:szCs w:val="22"/>
        </w:rPr>
        <w:t>Generalism</w:t>
      </w:r>
      <w:proofErr w:type="spellEnd"/>
      <w:r w:rsidRPr="006B4727">
        <w:rPr>
          <w:sz w:val="22"/>
          <w:szCs w:val="22"/>
        </w:rPr>
        <w:t xml:space="preserve"> refers to the number of product categories that the firm operates in (Rhee and Haunschild 2006). Prior work has indicated that generalist firms find their responsiveness inhibited through bureaucratic structures (Carroll </w:t>
      </w:r>
      <w:r w:rsidR="0030194A" w:rsidRPr="006B4727">
        <w:rPr>
          <w:sz w:val="22"/>
          <w:szCs w:val="22"/>
        </w:rPr>
        <w:t xml:space="preserve">&amp; </w:t>
      </w:r>
      <w:r w:rsidRPr="006B4727">
        <w:rPr>
          <w:sz w:val="22"/>
          <w:szCs w:val="22"/>
        </w:rPr>
        <w:t>Swaminathan</w:t>
      </w:r>
      <w:r w:rsidR="0030194A" w:rsidRPr="006B4727">
        <w:rPr>
          <w:sz w:val="22"/>
          <w:szCs w:val="22"/>
        </w:rPr>
        <w:t>,</w:t>
      </w:r>
      <w:r w:rsidRPr="006B4727">
        <w:rPr>
          <w:sz w:val="22"/>
          <w:szCs w:val="22"/>
        </w:rPr>
        <w:t xml:space="preserve"> 2000). </w:t>
      </w:r>
      <w:bookmarkStart w:id="5" w:name="_Hlk153912249"/>
      <w:r w:rsidRPr="006B4727">
        <w:rPr>
          <w:sz w:val="22"/>
          <w:szCs w:val="22"/>
        </w:rPr>
        <w:t>In the case of automobile recall</w:t>
      </w:r>
      <w:r w:rsidR="0030194A" w:rsidRPr="006B4727">
        <w:rPr>
          <w:sz w:val="22"/>
          <w:szCs w:val="22"/>
        </w:rPr>
        <w:t>s</w:t>
      </w:r>
      <w:r w:rsidRPr="006B4727">
        <w:rPr>
          <w:sz w:val="22"/>
          <w:szCs w:val="22"/>
        </w:rPr>
        <w:t xml:space="preserve">, </w:t>
      </w:r>
      <w:r w:rsidR="00911755" w:rsidRPr="006B4727">
        <w:rPr>
          <w:sz w:val="22"/>
          <w:szCs w:val="22"/>
        </w:rPr>
        <w:t>generalist firms</w:t>
      </w:r>
      <w:r w:rsidRPr="006B4727">
        <w:rPr>
          <w:sz w:val="22"/>
          <w:szCs w:val="22"/>
        </w:rPr>
        <w:t xml:space="preserve"> may take longer to mobil</w:t>
      </w:r>
      <w:r w:rsidR="004F7BF6" w:rsidRPr="006B4727">
        <w:rPr>
          <w:sz w:val="22"/>
          <w:szCs w:val="22"/>
        </w:rPr>
        <w:t>iz</w:t>
      </w:r>
      <w:r w:rsidRPr="006B4727">
        <w:rPr>
          <w:sz w:val="22"/>
          <w:szCs w:val="22"/>
        </w:rPr>
        <w:t xml:space="preserve">e resources to </w:t>
      </w:r>
      <w:r w:rsidR="00911755" w:rsidRPr="006B4727">
        <w:rPr>
          <w:sz w:val="22"/>
          <w:szCs w:val="22"/>
        </w:rPr>
        <w:t xml:space="preserve">deal with a </w:t>
      </w:r>
      <w:r w:rsidRPr="006B4727">
        <w:rPr>
          <w:sz w:val="22"/>
          <w:szCs w:val="22"/>
        </w:rPr>
        <w:t>product</w:t>
      </w:r>
      <w:r w:rsidR="00502ADE">
        <w:rPr>
          <w:sz w:val="22"/>
          <w:szCs w:val="22"/>
        </w:rPr>
        <w:t>-</w:t>
      </w:r>
      <w:r w:rsidRPr="006B4727">
        <w:rPr>
          <w:sz w:val="22"/>
          <w:szCs w:val="22"/>
        </w:rPr>
        <w:t xml:space="preserve">harm crisis and </w:t>
      </w:r>
      <w:r w:rsidR="00911755" w:rsidRPr="006B4727">
        <w:rPr>
          <w:sz w:val="22"/>
          <w:szCs w:val="22"/>
        </w:rPr>
        <w:t xml:space="preserve">thus, </w:t>
      </w:r>
      <w:r w:rsidRPr="006B4727">
        <w:rPr>
          <w:sz w:val="22"/>
          <w:szCs w:val="22"/>
        </w:rPr>
        <w:t xml:space="preserve">may take longer to respond (Rhee </w:t>
      </w:r>
      <w:r w:rsidR="0030194A" w:rsidRPr="006B4727">
        <w:rPr>
          <w:sz w:val="22"/>
          <w:szCs w:val="22"/>
        </w:rPr>
        <w:t>&amp;</w:t>
      </w:r>
      <w:r w:rsidRPr="006B4727">
        <w:rPr>
          <w:sz w:val="22"/>
          <w:szCs w:val="22"/>
        </w:rPr>
        <w:t xml:space="preserve"> Haunschild</w:t>
      </w:r>
      <w:r w:rsidR="0030194A" w:rsidRPr="006B4727">
        <w:rPr>
          <w:sz w:val="22"/>
          <w:szCs w:val="22"/>
        </w:rPr>
        <w:t>,</w:t>
      </w:r>
      <w:r w:rsidRPr="006B4727">
        <w:rPr>
          <w:sz w:val="22"/>
          <w:szCs w:val="22"/>
        </w:rPr>
        <w:t xml:space="preserve"> 2006).</w:t>
      </w:r>
      <w:bookmarkEnd w:id="5"/>
      <w:r w:rsidRPr="006B4727">
        <w:rPr>
          <w:sz w:val="22"/>
          <w:szCs w:val="22"/>
        </w:rPr>
        <w:t xml:space="preserve"> </w:t>
      </w:r>
      <w:r w:rsidR="00B82A7F" w:rsidRPr="006B4727">
        <w:rPr>
          <w:sz w:val="22"/>
          <w:szCs w:val="22"/>
        </w:rPr>
        <w:t xml:space="preserve">We </w:t>
      </w:r>
      <w:r w:rsidRPr="006B4727">
        <w:rPr>
          <w:sz w:val="22"/>
          <w:szCs w:val="22"/>
        </w:rPr>
        <w:t>measure</w:t>
      </w:r>
      <w:r w:rsidR="00B82A7F" w:rsidRPr="006B4727">
        <w:rPr>
          <w:sz w:val="22"/>
          <w:szCs w:val="22"/>
        </w:rPr>
        <w:t>d</w:t>
      </w:r>
      <w:r w:rsidRPr="006B4727">
        <w:rPr>
          <w:sz w:val="22"/>
          <w:szCs w:val="22"/>
        </w:rPr>
        <w:t xml:space="preserve"> the </w:t>
      </w:r>
      <w:proofErr w:type="spellStart"/>
      <w:r w:rsidRPr="006B4727">
        <w:rPr>
          <w:sz w:val="22"/>
          <w:szCs w:val="22"/>
        </w:rPr>
        <w:t>generalism</w:t>
      </w:r>
      <w:proofErr w:type="spellEnd"/>
      <w:r w:rsidRPr="006B4727">
        <w:rPr>
          <w:sz w:val="22"/>
          <w:szCs w:val="22"/>
        </w:rPr>
        <w:t xml:space="preserve"> of firms in our</w:t>
      </w:r>
      <w:r w:rsidR="00B82A7F" w:rsidRPr="006B4727">
        <w:rPr>
          <w:sz w:val="22"/>
          <w:szCs w:val="22"/>
        </w:rPr>
        <w:t xml:space="preserve"> </w:t>
      </w:r>
      <w:r w:rsidR="00F237C9" w:rsidRPr="006B4727">
        <w:rPr>
          <w:sz w:val="22"/>
          <w:szCs w:val="22"/>
        </w:rPr>
        <w:t xml:space="preserve">samples of the U.S. and U.K. only. </w:t>
      </w:r>
      <w:r w:rsidR="007A6979" w:rsidRPr="006B4727">
        <w:rPr>
          <w:sz w:val="22"/>
          <w:szCs w:val="22"/>
        </w:rPr>
        <w:t xml:space="preserve">These two markets had the greatest availability of data that would allow us to </w:t>
      </w:r>
      <w:r w:rsidR="007A6979" w:rsidRPr="006B4727">
        <w:rPr>
          <w:sz w:val="22"/>
          <w:szCs w:val="22"/>
        </w:rPr>
        <w:lastRenderedPageBreak/>
        <w:t xml:space="preserve">calculate the </w:t>
      </w:r>
      <w:proofErr w:type="spellStart"/>
      <w:r w:rsidR="007A6979" w:rsidRPr="006B4727">
        <w:rPr>
          <w:sz w:val="22"/>
          <w:szCs w:val="22"/>
        </w:rPr>
        <w:t>generalism</w:t>
      </w:r>
      <w:proofErr w:type="spellEnd"/>
      <w:r w:rsidR="007A6979" w:rsidRPr="006B4727">
        <w:rPr>
          <w:sz w:val="22"/>
          <w:szCs w:val="22"/>
        </w:rPr>
        <w:t xml:space="preserve"> and each represented a market that either focused</w:t>
      </w:r>
      <w:r w:rsidR="00AB1842">
        <w:rPr>
          <w:sz w:val="22"/>
          <w:szCs w:val="22"/>
        </w:rPr>
        <w:t xml:space="preserve"> product safety</w:t>
      </w:r>
      <w:r w:rsidR="007A6979" w:rsidRPr="006B4727">
        <w:rPr>
          <w:sz w:val="22"/>
          <w:szCs w:val="22"/>
        </w:rPr>
        <w:t xml:space="preserve"> regulations on the firm (U.S) or </w:t>
      </w:r>
      <w:r w:rsidR="00AB1842">
        <w:rPr>
          <w:sz w:val="22"/>
          <w:szCs w:val="22"/>
        </w:rPr>
        <w:t>created consumer liability</w:t>
      </w:r>
      <w:r w:rsidR="007A6979" w:rsidRPr="006B4727">
        <w:rPr>
          <w:sz w:val="22"/>
          <w:szCs w:val="22"/>
        </w:rPr>
        <w:t xml:space="preserve"> (U.K).</w:t>
      </w:r>
      <w:r w:rsidR="00B82A7F" w:rsidRPr="006B4727">
        <w:rPr>
          <w:sz w:val="22"/>
          <w:szCs w:val="22"/>
        </w:rPr>
        <w:t xml:space="preserve">  W</w:t>
      </w:r>
      <w:r w:rsidRPr="006B4727">
        <w:rPr>
          <w:sz w:val="22"/>
          <w:szCs w:val="22"/>
        </w:rPr>
        <w:t xml:space="preserve">e followed the same procedure as Rhee and Haunschild (2006) by taking into account both engine capacity and product categories.  We first calculated the spread of engine capacity for each firm in our sample. For example, in the </w:t>
      </w:r>
      <w:r w:rsidR="000A1B0A" w:rsidRPr="006B4727">
        <w:rPr>
          <w:sz w:val="22"/>
          <w:szCs w:val="22"/>
        </w:rPr>
        <w:t>U.K</w:t>
      </w:r>
      <w:r w:rsidRPr="006B4727">
        <w:rPr>
          <w:sz w:val="22"/>
          <w:szCs w:val="22"/>
        </w:rPr>
        <w:t xml:space="preserve">, the automaker Audi sells the A2 (~1.4 </w:t>
      </w:r>
      <w:proofErr w:type="spellStart"/>
      <w:r w:rsidRPr="006B4727">
        <w:rPr>
          <w:sz w:val="22"/>
          <w:szCs w:val="22"/>
        </w:rPr>
        <w:t>liter</w:t>
      </w:r>
      <w:proofErr w:type="spellEnd"/>
      <w:r w:rsidRPr="006B4727">
        <w:rPr>
          <w:sz w:val="22"/>
          <w:szCs w:val="22"/>
        </w:rPr>
        <w:t xml:space="preserve">), the S3 (~1.8 </w:t>
      </w:r>
      <w:proofErr w:type="spellStart"/>
      <w:r w:rsidRPr="006B4727">
        <w:rPr>
          <w:sz w:val="22"/>
          <w:szCs w:val="22"/>
        </w:rPr>
        <w:t>liter</w:t>
      </w:r>
      <w:proofErr w:type="spellEnd"/>
      <w:r w:rsidRPr="006B4727">
        <w:rPr>
          <w:sz w:val="22"/>
          <w:szCs w:val="22"/>
        </w:rPr>
        <w:t xml:space="preserve">), the A3 (~2.0 </w:t>
      </w:r>
      <w:proofErr w:type="spellStart"/>
      <w:r w:rsidRPr="006B4727">
        <w:rPr>
          <w:sz w:val="22"/>
          <w:szCs w:val="22"/>
        </w:rPr>
        <w:t>liter</w:t>
      </w:r>
      <w:proofErr w:type="spellEnd"/>
      <w:r w:rsidRPr="006B4727">
        <w:rPr>
          <w:sz w:val="22"/>
          <w:szCs w:val="22"/>
        </w:rPr>
        <w:t xml:space="preserve">), the </w:t>
      </w:r>
      <w:proofErr w:type="spellStart"/>
      <w:r w:rsidRPr="006B4727">
        <w:rPr>
          <w:sz w:val="22"/>
          <w:szCs w:val="22"/>
        </w:rPr>
        <w:t>Allroad</w:t>
      </w:r>
      <w:proofErr w:type="spellEnd"/>
      <w:r w:rsidRPr="006B4727">
        <w:rPr>
          <w:sz w:val="22"/>
          <w:szCs w:val="22"/>
        </w:rPr>
        <w:t xml:space="preserve"> Quattro (~2.7 </w:t>
      </w:r>
      <w:proofErr w:type="spellStart"/>
      <w:r w:rsidRPr="006B4727">
        <w:rPr>
          <w:sz w:val="22"/>
          <w:szCs w:val="22"/>
        </w:rPr>
        <w:t>liter</w:t>
      </w:r>
      <w:proofErr w:type="spellEnd"/>
      <w:r w:rsidRPr="006B4727">
        <w:rPr>
          <w:sz w:val="22"/>
          <w:szCs w:val="22"/>
        </w:rPr>
        <w:t xml:space="preserve">), the A8 (~4.2 </w:t>
      </w:r>
      <w:proofErr w:type="spellStart"/>
      <w:r w:rsidRPr="006B4727">
        <w:rPr>
          <w:sz w:val="22"/>
          <w:szCs w:val="22"/>
        </w:rPr>
        <w:t>liter</w:t>
      </w:r>
      <w:proofErr w:type="spellEnd"/>
      <w:r w:rsidRPr="006B4727">
        <w:rPr>
          <w:sz w:val="22"/>
          <w:szCs w:val="22"/>
        </w:rPr>
        <w:t xml:space="preserve">), and the S8 (~4.2 </w:t>
      </w:r>
      <w:proofErr w:type="spellStart"/>
      <w:r w:rsidRPr="006B4727">
        <w:rPr>
          <w:sz w:val="22"/>
          <w:szCs w:val="22"/>
        </w:rPr>
        <w:t>liter</w:t>
      </w:r>
      <w:proofErr w:type="spellEnd"/>
      <w:r w:rsidRPr="006B4727">
        <w:rPr>
          <w:sz w:val="22"/>
          <w:szCs w:val="22"/>
        </w:rPr>
        <w:t xml:space="preserve">).  The spread of vehicle capacity is therefore 2.8 (4.2 </w:t>
      </w:r>
      <w:r w:rsidR="008E66D6" w:rsidRPr="006B4727">
        <w:rPr>
          <w:sz w:val="22"/>
          <w:szCs w:val="22"/>
        </w:rPr>
        <w:t>–</w:t>
      </w:r>
      <w:r w:rsidRPr="006B4727">
        <w:rPr>
          <w:sz w:val="22"/>
          <w:szCs w:val="22"/>
        </w:rPr>
        <w:t xml:space="preserve"> 1.4).  An index was created for each automaker using the spread of vehicle capacity. To arrive at a measure of </w:t>
      </w:r>
      <w:proofErr w:type="spellStart"/>
      <w:r w:rsidRPr="006B4727">
        <w:rPr>
          <w:sz w:val="22"/>
          <w:szCs w:val="22"/>
        </w:rPr>
        <w:t>generalism</w:t>
      </w:r>
      <w:proofErr w:type="spellEnd"/>
      <w:r w:rsidRPr="006B4727">
        <w:rPr>
          <w:sz w:val="22"/>
          <w:szCs w:val="22"/>
        </w:rPr>
        <w:t xml:space="preserve">, this index was then combined with another index comprised of the automobile categories that the automaker occupied within that marketplace. This approach </w:t>
      </w:r>
      <w:r w:rsidR="008E66D6" w:rsidRPr="006B4727">
        <w:rPr>
          <w:sz w:val="22"/>
          <w:szCs w:val="22"/>
        </w:rPr>
        <w:t xml:space="preserve">assigned </w:t>
      </w:r>
      <w:r w:rsidRPr="006B4727">
        <w:rPr>
          <w:sz w:val="22"/>
          <w:szCs w:val="22"/>
        </w:rPr>
        <w:t xml:space="preserve">each automaker a different score on </w:t>
      </w:r>
      <w:proofErr w:type="spellStart"/>
      <w:r w:rsidRPr="006B4727">
        <w:rPr>
          <w:sz w:val="22"/>
          <w:szCs w:val="22"/>
        </w:rPr>
        <w:t>generalism</w:t>
      </w:r>
      <w:proofErr w:type="spellEnd"/>
      <w:r w:rsidRPr="006B4727">
        <w:rPr>
          <w:sz w:val="22"/>
          <w:szCs w:val="22"/>
        </w:rPr>
        <w:t xml:space="preserve"> for each year in each market, depending on the models it introduced in that year. In 2005, for example, Honda in the </w:t>
      </w:r>
      <w:r w:rsidR="000A1B0A" w:rsidRPr="006B4727">
        <w:rPr>
          <w:sz w:val="22"/>
          <w:szCs w:val="22"/>
        </w:rPr>
        <w:t>U.K</w:t>
      </w:r>
      <w:r w:rsidRPr="006B4727">
        <w:rPr>
          <w:sz w:val="22"/>
          <w:szCs w:val="22"/>
        </w:rPr>
        <w:t xml:space="preserve"> received a </w:t>
      </w:r>
      <w:proofErr w:type="spellStart"/>
      <w:r w:rsidRPr="006B4727">
        <w:rPr>
          <w:sz w:val="22"/>
          <w:szCs w:val="22"/>
        </w:rPr>
        <w:t>generalism</w:t>
      </w:r>
      <w:proofErr w:type="spellEnd"/>
      <w:r w:rsidRPr="006B4727">
        <w:rPr>
          <w:sz w:val="22"/>
          <w:szCs w:val="22"/>
        </w:rPr>
        <w:t xml:space="preserve"> score of 2.582</w:t>
      </w:r>
      <w:r w:rsidR="008E66D6" w:rsidRPr="006B4727">
        <w:rPr>
          <w:sz w:val="22"/>
          <w:szCs w:val="22"/>
        </w:rPr>
        <w:t>,</w:t>
      </w:r>
      <w:r w:rsidRPr="006B4727">
        <w:rPr>
          <w:sz w:val="22"/>
          <w:szCs w:val="22"/>
        </w:rPr>
        <w:t xml:space="preserve"> while</w:t>
      </w:r>
      <w:r w:rsidR="00C62486" w:rsidRPr="006B4727">
        <w:rPr>
          <w:sz w:val="22"/>
          <w:szCs w:val="22"/>
        </w:rPr>
        <w:t xml:space="preserve"> it</w:t>
      </w:r>
      <w:r w:rsidRPr="006B4727">
        <w:rPr>
          <w:sz w:val="22"/>
          <w:szCs w:val="22"/>
        </w:rPr>
        <w:t xml:space="preserve"> received a score of 1.958</w:t>
      </w:r>
      <w:r w:rsidR="00C62486" w:rsidRPr="006B4727">
        <w:rPr>
          <w:sz w:val="22"/>
          <w:szCs w:val="22"/>
        </w:rPr>
        <w:t xml:space="preserve"> for the </w:t>
      </w:r>
      <w:r w:rsidR="000A1B0A" w:rsidRPr="006B4727">
        <w:rPr>
          <w:sz w:val="22"/>
          <w:szCs w:val="22"/>
        </w:rPr>
        <w:t>U.S</w:t>
      </w:r>
      <w:r w:rsidRPr="006B4727">
        <w:rPr>
          <w:sz w:val="22"/>
          <w:szCs w:val="22"/>
        </w:rPr>
        <w:t xml:space="preserve">, thus indicating that the automaker was more generalized in </w:t>
      </w:r>
      <w:r w:rsidR="00C62486" w:rsidRPr="006B4727">
        <w:rPr>
          <w:sz w:val="22"/>
          <w:szCs w:val="22"/>
        </w:rPr>
        <w:t>the UK compared to the US</w:t>
      </w:r>
      <w:r w:rsidRPr="006B4727">
        <w:rPr>
          <w:sz w:val="22"/>
          <w:szCs w:val="22"/>
        </w:rPr>
        <w:t xml:space="preserve">. Alternatively, Honda was more specialized in the </w:t>
      </w:r>
      <w:r w:rsidR="000A1B0A" w:rsidRPr="006B4727">
        <w:rPr>
          <w:sz w:val="22"/>
          <w:szCs w:val="22"/>
        </w:rPr>
        <w:t>U.S</w:t>
      </w:r>
      <w:r w:rsidRPr="006B4727">
        <w:rPr>
          <w:sz w:val="22"/>
          <w:szCs w:val="22"/>
        </w:rPr>
        <w:t xml:space="preserve"> compared to the </w:t>
      </w:r>
      <w:r w:rsidR="000A1B0A" w:rsidRPr="006B4727">
        <w:rPr>
          <w:sz w:val="22"/>
          <w:szCs w:val="22"/>
        </w:rPr>
        <w:t>U.K</w:t>
      </w:r>
      <w:r w:rsidRPr="006B4727">
        <w:rPr>
          <w:sz w:val="22"/>
          <w:szCs w:val="22"/>
        </w:rPr>
        <w:t xml:space="preserve">. A listing of </w:t>
      </w:r>
      <w:proofErr w:type="spellStart"/>
      <w:r w:rsidRPr="006B4727">
        <w:rPr>
          <w:sz w:val="22"/>
          <w:szCs w:val="22"/>
        </w:rPr>
        <w:t>generalism</w:t>
      </w:r>
      <w:proofErr w:type="spellEnd"/>
      <w:r w:rsidRPr="006B4727">
        <w:rPr>
          <w:sz w:val="22"/>
          <w:szCs w:val="22"/>
        </w:rPr>
        <w:t xml:space="preserve"> scores is presented in Table </w:t>
      </w:r>
      <w:r w:rsidR="006E1E22" w:rsidRPr="006B4727">
        <w:rPr>
          <w:sz w:val="22"/>
          <w:szCs w:val="22"/>
        </w:rPr>
        <w:t>4</w:t>
      </w:r>
      <w:r w:rsidRPr="006B4727">
        <w:rPr>
          <w:sz w:val="22"/>
          <w:szCs w:val="22"/>
        </w:rPr>
        <w:t>.</w:t>
      </w:r>
    </w:p>
    <w:p w14:paraId="3809EC8F" w14:textId="7F0AF16A" w:rsidR="00B6782B" w:rsidRPr="006B4727" w:rsidRDefault="00B6782B" w:rsidP="006B4727">
      <w:pPr>
        <w:spacing w:after="240"/>
        <w:jc w:val="center"/>
        <w:rPr>
          <w:b/>
          <w:i/>
          <w:sz w:val="22"/>
          <w:szCs w:val="22"/>
        </w:rPr>
      </w:pPr>
      <w:r w:rsidRPr="006B4727">
        <w:rPr>
          <w:sz w:val="22"/>
          <w:szCs w:val="22"/>
        </w:rPr>
        <w:t xml:space="preserve">&lt;Please insert Table </w:t>
      </w:r>
      <w:r w:rsidR="006E1E22" w:rsidRPr="006B4727">
        <w:rPr>
          <w:sz w:val="22"/>
          <w:szCs w:val="22"/>
        </w:rPr>
        <w:t>4</w:t>
      </w:r>
      <w:r w:rsidRPr="006B4727">
        <w:rPr>
          <w:sz w:val="22"/>
          <w:szCs w:val="22"/>
        </w:rPr>
        <w:t xml:space="preserve"> about </w:t>
      </w:r>
      <w:r w:rsidR="00404F58" w:rsidRPr="006B4727">
        <w:rPr>
          <w:sz w:val="22"/>
          <w:szCs w:val="22"/>
        </w:rPr>
        <w:t>h</w:t>
      </w:r>
      <w:r w:rsidRPr="006B4727">
        <w:rPr>
          <w:sz w:val="22"/>
          <w:szCs w:val="22"/>
        </w:rPr>
        <w:t>ere&gt;</w:t>
      </w:r>
    </w:p>
    <w:p w14:paraId="45754F6F" w14:textId="0FC5F811" w:rsidR="0009550B" w:rsidRPr="006B4727" w:rsidRDefault="00615FEE" w:rsidP="00F276E7">
      <w:pPr>
        <w:spacing w:line="480" w:lineRule="auto"/>
        <w:rPr>
          <w:b/>
          <w:sz w:val="28"/>
          <w:szCs w:val="28"/>
        </w:rPr>
      </w:pPr>
      <w:r w:rsidRPr="006B4727">
        <w:rPr>
          <w:b/>
          <w:sz w:val="28"/>
          <w:szCs w:val="28"/>
        </w:rPr>
        <w:t>ANALYSIS AND RESULTS</w:t>
      </w:r>
    </w:p>
    <w:p w14:paraId="40751EFB" w14:textId="0451FCB8" w:rsidR="007575DB" w:rsidRPr="006B4727" w:rsidRDefault="001A0F0C" w:rsidP="006B4727">
      <w:pPr>
        <w:spacing w:line="480" w:lineRule="auto"/>
        <w:ind w:firstLine="720"/>
        <w:rPr>
          <w:sz w:val="22"/>
          <w:szCs w:val="22"/>
        </w:rPr>
      </w:pPr>
      <w:r w:rsidRPr="006B4727">
        <w:rPr>
          <w:sz w:val="22"/>
          <w:szCs w:val="22"/>
        </w:rPr>
        <w:t>T</w:t>
      </w:r>
      <w:r w:rsidR="0009550B" w:rsidRPr="006B4727">
        <w:rPr>
          <w:sz w:val="22"/>
          <w:szCs w:val="22"/>
        </w:rPr>
        <w:t xml:space="preserve">o test </w:t>
      </w:r>
      <w:r w:rsidR="00490F39" w:rsidRPr="006B4727">
        <w:rPr>
          <w:sz w:val="22"/>
          <w:szCs w:val="22"/>
        </w:rPr>
        <w:t>our</w:t>
      </w:r>
      <w:r w:rsidR="00786667" w:rsidRPr="006B4727">
        <w:rPr>
          <w:sz w:val="22"/>
          <w:szCs w:val="22"/>
        </w:rPr>
        <w:t xml:space="preserve"> </w:t>
      </w:r>
      <w:r w:rsidR="00480785" w:rsidRPr="006B4727">
        <w:rPr>
          <w:sz w:val="22"/>
          <w:szCs w:val="22"/>
        </w:rPr>
        <w:t>hypotheses</w:t>
      </w:r>
      <w:r w:rsidR="00490F39" w:rsidRPr="006B4727">
        <w:rPr>
          <w:sz w:val="22"/>
          <w:szCs w:val="22"/>
        </w:rPr>
        <w:t xml:space="preserve">, </w:t>
      </w:r>
      <w:r w:rsidR="00480785" w:rsidRPr="006B4727">
        <w:rPr>
          <w:sz w:val="22"/>
          <w:szCs w:val="22"/>
        </w:rPr>
        <w:t xml:space="preserve">we </w:t>
      </w:r>
      <w:r w:rsidR="00562EB5" w:rsidRPr="006B4727">
        <w:rPr>
          <w:sz w:val="22"/>
          <w:szCs w:val="22"/>
        </w:rPr>
        <w:t xml:space="preserve">conducted </w:t>
      </w:r>
      <w:r w:rsidR="00480785" w:rsidRPr="006B4727">
        <w:rPr>
          <w:sz w:val="22"/>
          <w:szCs w:val="22"/>
        </w:rPr>
        <w:t>a survival analysis using an accelerated failure time model</w:t>
      </w:r>
      <w:r w:rsidR="007B5DF5" w:rsidRPr="006B4727">
        <w:rPr>
          <w:sz w:val="22"/>
          <w:szCs w:val="22"/>
        </w:rPr>
        <w:t xml:space="preserve"> with an exponential distribution</w:t>
      </w:r>
      <w:r w:rsidR="00480785" w:rsidRPr="006B4727">
        <w:rPr>
          <w:sz w:val="22"/>
          <w:szCs w:val="22"/>
        </w:rPr>
        <w:t>.</w:t>
      </w:r>
      <w:r w:rsidR="00993B3A" w:rsidRPr="006B4727">
        <w:rPr>
          <w:sz w:val="22"/>
          <w:szCs w:val="22"/>
        </w:rPr>
        <w:t xml:space="preserve"> </w:t>
      </w:r>
      <w:r w:rsidR="00480785" w:rsidRPr="006B4727">
        <w:rPr>
          <w:sz w:val="22"/>
          <w:szCs w:val="22"/>
        </w:rPr>
        <w:t xml:space="preserve">Previous work </w:t>
      </w:r>
      <w:r w:rsidR="00CB0BC9" w:rsidRPr="006B4727">
        <w:rPr>
          <w:sz w:val="22"/>
          <w:szCs w:val="22"/>
        </w:rPr>
        <w:t>on</w:t>
      </w:r>
      <w:r w:rsidR="005E25FA" w:rsidRPr="006B4727">
        <w:rPr>
          <w:sz w:val="22"/>
          <w:szCs w:val="22"/>
        </w:rPr>
        <w:t xml:space="preserve"> product recalls </w:t>
      </w:r>
      <w:r w:rsidR="00480785" w:rsidRPr="006B4727">
        <w:rPr>
          <w:sz w:val="22"/>
          <w:szCs w:val="22"/>
        </w:rPr>
        <w:t xml:space="preserve">has </w:t>
      </w:r>
      <w:r w:rsidR="00CB0BC9" w:rsidRPr="006B4727">
        <w:rPr>
          <w:sz w:val="22"/>
          <w:szCs w:val="22"/>
        </w:rPr>
        <w:t xml:space="preserve">commonly </w:t>
      </w:r>
      <w:r w:rsidR="000B577E" w:rsidRPr="006B4727">
        <w:rPr>
          <w:sz w:val="22"/>
          <w:szCs w:val="22"/>
        </w:rPr>
        <w:t xml:space="preserve">employed </w:t>
      </w:r>
      <w:r w:rsidR="00480785" w:rsidRPr="006B4727">
        <w:rPr>
          <w:sz w:val="22"/>
          <w:szCs w:val="22"/>
        </w:rPr>
        <w:t xml:space="preserve">ordinary least squares (OLS) regression techniques </w:t>
      </w:r>
      <w:r w:rsidR="00811ECE" w:rsidRPr="006B4727">
        <w:rPr>
          <w:sz w:val="22"/>
          <w:szCs w:val="22"/>
        </w:rPr>
        <w:t>(</w:t>
      </w:r>
      <w:r w:rsidR="00CB0BC9" w:rsidRPr="006B4727">
        <w:rPr>
          <w:sz w:val="22"/>
          <w:szCs w:val="22"/>
        </w:rPr>
        <w:t xml:space="preserve">e.g., </w:t>
      </w:r>
      <w:r w:rsidR="006F072C" w:rsidRPr="006B4727">
        <w:rPr>
          <w:sz w:val="22"/>
          <w:szCs w:val="22"/>
        </w:rPr>
        <w:t xml:space="preserve">Cheah, Chan, </w:t>
      </w:r>
      <w:r w:rsidR="0030194A" w:rsidRPr="006B4727">
        <w:rPr>
          <w:sz w:val="22"/>
          <w:szCs w:val="22"/>
        </w:rPr>
        <w:t>&amp;</w:t>
      </w:r>
      <w:r w:rsidR="006F072C" w:rsidRPr="006B4727">
        <w:rPr>
          <w:sz w:val="22"/>
          <w:szCs w:val="22"/>
        </w:rPr>
        <w:t xml:space="preserve"> Chieng</w:t>
      </w:r>
      <w:r w:rsidR="0030194A" w:rsidRPr="006B4727">
        <w:rPr>
          <w:sz w:val="22"/>
          <w:szCs w:val="22"/>
        </w:rPr>
        <w:t>,</w:t>
      </w:r>
      <w:r w:rsidR="006F072C" w:rsidRPr="006B4727">
        <w:rPr>
          <w:sz w:val="22"/>
          <w:szCs w:val="22"/>
        </w:rPr>
        <w:t xml:space="preserve"> 2007; Chen, Ganesan, </w:t>
      </w:r>
      <w:r w:rsidR="003E1365" w:rsidRPr="006B4727">
        <w:rPr>
          <w:sz w:val="22"/>
          <w:szCs w:val="22"/>
        </w:rPr>
        <w:t>&amp;</w:t>
      </w:r>
      <w:r w:rsidR="006F072C" w:rsidRPr="006B4727">
        <w:rPr>
          <w:sz w:val="22"/>
          <w:szCs w:val="22"/>
        </w:rPr>
        <w:t xml:space="preserve"> Liu 2009; </w:t>
      </w:r>
      <w:r w:rsidR="00811ECE" w:rsidRPr="006B4727">
        <w:rPr>
          <w:sz w:val="22"/>
          <w:szCs w:val="22"/>
        </w:rPr>
        <w:t>Hora</w:t>
      </w:r>
      <w:r w:rsidR="006F072C" w:rsidRPr="006B4727">
        <w:rPr>
          <w:sz w:val="22"/>
          <w:szCs w:val="22"/>
        </w:rPr>
        <w:t xml:space="preserve">, Bapuji, </w:t>
      </w:r>
      <w:r w:rsidR="003E1365" w:rsidRPr="006B4727">
        <w:rPr>
          <w:sz w:val="22"/>
          <w:szCs w:val="22"/>
        </w:rPr>
        <w:t>&amp;</w:t>
      </w:r>
      <w:r w:rsidR="006F072C" w:rsidRPr="006B4727">
        <w:rPr>
          <w:sz w:val="22"/>
          <w:szCs w:val="22"/>
        </w:rPr>
        <w:t xml:space="preserve"> Roth</w:t>
      </w:r>
      <w:r w:rsidR="003E1365" w:rsidRPr="006B4727">
        <w:rPr>
          <w:sz w:val="22"/>
          <w:szCs w:val="22"/>
        </w:rPr>
        <w:t>,</w:t>
      </w:r>
      <w:r w:rsidR="006F072C" w:rsidRPr="006B4727">
        <w:rPr>
          <w:sz w:val="22"/>
          <w:szCs w:val="22"/>
        </w:rPr>
        <w:t xml:space="preserve"> </w:t>
      </w:r>
      <w:r w:rsidR="00811ECE" w:rsidRPr="006B4727">
        <w:rPr>
          <w:sz w:val="22"/>
          <w:szCs w:val="22"/>
        </w:rPr>
        <w:t>2011</w:t>
      </w:r>
      <w:r w:rsidR="00F237C9" w:rsidRPr="006B4727">
        <w:rPr>
          <w:sz w:val="22"/>
          <w:szCs w:val="22"/>
        </w:rPr>
        <w:t>; Muralidharan, Hora, &amp; Bapuji, 2022</w:t>
      </w:r>
      <w:r w:rsidR="005E25FA" w:rsidRPr="006B4727">
        <w:rPr>
          <w:sz w:val="22"/>
          <w:szCs w:val="22"/>
        </w:rPr>
        <w:t>)</w:t>
      </w:r>
      <w:r w:rsidR="00CB0BC9" w:rsidRPr="006B4727">
        <w:rPr>
          <w:sz w:val="22"/>
          <w:szCs w:val="22"/>
        </w:rPr>
        <w:t xml:space="preserve">, </w:t>
      </w:r>
      <w:r w:rsidR="007575DB" w:rsidRPr="006B4727">
        <w:rPr>
          <w:sz w:val="22"/>
          <w:szCs w:val="22"/>
        </w:rPr>
        <w:t>a method that</w:t>
      </w:r>
      <w:r w:rsidR="00CB0BC9" w:rsidRPr="006B4727">
        <w:rPr>
          <w:sz w:val="22"/>
          <w:szCs w:val="22"/>
        </w:rPr>
        <w:t xml:space="preserve"> limit</w:t>
      </w:r>
      <w:r w:rsidR="007575DB" w:rsidRPr="006B4727">
        <w:rPr>
          <w:sz w:val="22"/>
          <w:szCs w:val="22"/>
        </w:rPr>
        <w:t>s</w:t>
      </w:r>
      <w:r w:rsidR="00CB0BC9" w:rsidRPr="006B4727">
        <w:rPr>
          <w:sz w:val="22"/>
          <w:szCs w:val="22"/>
        </w:rPr>
        <w:t xml:space="preserve"> the analysis to </w:t>
      </w:r>
      <w:r w:rsidR="005521D2" w:rsidRPr="006B4727">
        <w:rPr>
          <w:sz w:val="22"/>
          <w:szCs w:val="22"/>
        </w:rPr>
        <w:t xml:space="preserve">only </w:t>
      </w:r>
      <w:r w:rsidR="00CB0BC9" w:rsidRPr="006B4727">
        <w:rPr>
          <w:sz w:val="22"/>
          <w:szCs w:val="22"/>
        </w:rPr>
        <w:t>th</w:t>
      </w:r>
      <w:r w:rsidR="005521D2" w:rsidRPr="006B4727">
        <w:rPr>
          <w:sz w:val="22"/>
          <w:szCs w:val="22"/>
        </w:rPr>
        <w:t>ose</w:t>
      </w:r>
      <w:r w:rsidR="00CB0BC9" w:rsidRPr="006B4727">
        <w:rPr>
          <w:sz w:val="22"/>
          <w:szCs w:val="22"/>
        </w:rPr>
        <w:t xml:space="preserve"> products that were recalled and does not take into consideration the fact that some members of the sample may never experience the event. </w:t>
      </w:r>
    </w:p>
    <w:p w14:paraId="66DC9935" w14:textId="3DC23067" w:rsidR="008E66D6" w:rsidRPr="006B4727" w:rsidRDefault="00170E2D" w:rsidP="006324E2">
      <w:pPr>
        <w:spacing w:line="480" w:lineRule="auto"/>
        <w:rPr>
          <w:sz w:val="22"/>
          <w:szCs w:val="22"/>
        </w:rPr>
      </w:pPr>
      <w:r w:rsidRPr="006B4727">
        <w:rPr>
          <w:sz w:val="22"/>
          <w:szCs w:val="22"/>
        </w:rPr>
        <w:tab/>
      </w:r>
      <w:r w:rsidR="009977E1" w:rsidRPr="006B4727">
        <w:rPr>
          <w:sz w:val="22"/>
          <w:szCs w:val="22"/>
        </w:rPr>
        <w:t>Of the available survival analysis techniques,</w:t>
      </w:r>
      <w:r w:rsidR="000C30F4" w:rsidRPr="006B4727">
        <w:rPr>
          <w:sz w:val="22"/>
          <w:szCs w:val="22"/>
        </w:rPr>
        <w:t xml:space="preserve"> </w:t>
      </w:r>
      <w:r w:rsidR="00FC78A3" w:rsidRPr="006B4727">
        <w:rPr>
          <w:sz w:val="22"/>
          <w:szCs w:val="22"/>
        </w:rPr>
        <w:t xml:space="preserve">we chose to develop </w:t>
      </w:r>
      <w:r w:rsidR="00DF62B2" w:rsidRPr="006B4727">
        <w:rPr>
          <w:sz w:val="22"/>
          <w:szCs w:val="22"/>
        </w:rPr>
        <w:t xml:space="preserve">multiple </w:t>
      </w:r>
      <w:r w:rsidR="00F535D5" w:rsidRPr="006B4727">
        <w:rPr>
          <w:sz w:val="22"/>
          <w:szCs w:val="22"/>
        </w:rPr>
        <w:t>accelera</w:t>
      </w:r>
      <w:r w:rsidR="00FC78A3" w:rsidRPr="006B4727">
        <w:rPr>
          <w:sz w:val="22"/>
          <w:szCs w:val="22"/>
        </w:rPr>
        <w:t>ted failure time model</w:t>
      </w:r>
      <w:r w:rsidR="009E4E9F" w:rsidRPr="006B4727">
        <w:rPr>
          <w:sz w:val="22"/>
          <w:szCs w:val="22"/>
        </w:rPr>
        <w:t xml:space="preserve"> </w:t>
      </w:r>
      <w:r w:rsidR="00F535D5" w:rsidRPr="006B4727">
        <w:rPr>
          <w:sz w:val="22"/>
          <w:szCs w:val="22"/>
        </w:rPr>
        <w:t>because</w:t>
      </w:r>
      <w:r w:rsidR="00C93DAC" w:rsidRPr="006B4727">
        <w:rPr>
          <w:sz w:val="22"/>
          <w:szCs w:val="22"/>
        </w:rPr>
        <w:t xml:space="preserve"> </w:t>
      </w:r>
      <w:r w:rsidR="00F535D5" w:rsidRPr="006B4727">
        <w:rPr>
          <w:sz w:val="22"/>
          <w:szCs w:val="22"/>
        </w:rPr>
        <w:t>we expect</w:t>
      </w:r>
      <w:r w:rsidR="00FC565C" w:rsidRPr="006B4727">
        <w:rPr>
          <w:sz w:val="22"/>
          <w:szCs w:val="22"/>
        </w:rPr>
        <w:t>ed</w:t>
      </w:r>
      <w:r w:rsidR="00F535D5" w:rsidRPr="006B4727">
        <w:rPr>
          <w:sz w:val="22"/>
          <w:szCs w:val="22"/>
        </w:rPr>
        <w:t xml:space="preserve"> our covariates to have a disproportionate </w:t>
      </w:r>
      <w:r w:rsidR="003D3D1C" w:rsidRPr="006B4727">
        <w:rPr>
          <w:sz w:val="22"/>
          <w:szCs w:val="22"/>
        </w:rPr>
        <w:t>impact</w:t>
      </w:r>
      <w:r w:rsidR="00F535D5" w:rsidRPr="006B4727">
        <w:rPr>
          <w:sz w:val="22"/>
          <w:szCs w:val="22"/>
        </w:rPr>
        <w:t xml:space="preserve"> on the probability of the hazard </w:t>
      </w:r>
      <w:r w:rsidR="002F5190" w:rsidRPr="006B4727">
        <w:rPr>
          <w:sz w:val="22"/>
          <w:szCs w:val="22"/>
        </w:rPr>
        <w:t>earlier rather than later</w:t>
      </w:r>
      <w:r w:rsidR="009B7151" w:rsidRPr="006B4727">
        <w:rPr>
          <w:sz w:val="22"/>
          <w:szCs w:val="22"/>
        </w:rPr>
        <w:t>.</w:t>
      </w:r>
      <w:r w:rsidR="00DF62B2" w:rsidRPr="006B4727">
        <w:rPr>
          <w:sz w:val="22"/>
          <w:szCs w:val="22"/>
        </w:rPr>
        <w:t xml:space="preserve"> All countries were co</w:t>
      </w:r>
      <w:r w:rsidR="00655715" w:rsidRPr="006B4727">
        <w:rPr>
          <w:sz w:val="22"/>
          <w:szCs w:val="22"/>
        </w:rPr>
        <w:t>ntrasted</w:t>
      </w:r>
      <w:r w:rsidR="00DF62B2" w:rsidRPr="006B4727">
        <w:rPr>
          <w:sz w:val="22"/>
          <w:szCs w:val="22"/>
        </w:rPr>
        <w:t xml:space="preserve"> against each other in paired format. For </w:t>
      </w:r>
      <w:r w:rsidR="00DF62B2" w:rsidRPr="006B4727">
        <w:rPr>
          <w:sz w:val="22"/>
          <w:szCs w:val="22"/>
        </w:rPr>
        <w:lastRenderedPageBreak/>
        <w:t xml:space="preserve">example, the </w:t>
      </w:r>
      <w:r w:rsidR="000A1B0A" w:rsidRPr="006B4727">
        <w:rPr>
          <w:sz w:val="22"/>
          <w:szCs w:val="22"/>
        </w:rPr>
        <w:t>U.S</w:t>
      </w:r>
      <w:r w:rsidR="00DF62B2" w:rsidRPr="006B4727">
        <w:rPr>
          <w:sz w:val="22"/>
          <w:szCs w:val="22"/>
        </w:rPr>
        <w:t xml:space="preserve"> was </w:t>
      </w:r>
      <w:r w:rsidR="00655715" w:rsidRPr="006B4727">
        <w:rPr>
          <w:sz w:val="22"/>
          <w:szCs w:val="22"/>
        </w:rPr>
        <w:t xml:space="preserve">contrasted with the </w:t>
      </w:r>
      <w:r w:rsidR="000A1B0A" w:rsidRPr="006B4727">
        <w:rPr>
          <w:sz w:val="22"/>
          <w:szCs w:val="22"/>
        </w:rPr>
        <w:t>U.K</w:t>
      </w:r>
      <w:r w:rsidR="00655715" w:rsidRPr="006B4727">
        <w:rPr>
          <w:sz w:val="22"/>
          <w:szCs w:val="22"/>
        </w:rPr>
        <w:t xml:space="preserve">, Australia was contrasted with the </w:t>
      </w:r>
      <w:r w:rsidR="000A1B0A" w:rsidRPr="006B4727">
        <w:rPr>
          <w:sz w:val="22"/>
          <w:szCs w:val="22"/>
        </w:rPr>
        <w:t>U.K</w:t>
      </w:r>
      <w:r w:rsidR="00655715" w:rsidRPr="006B4727">
        <w:rPr>
          <w:sz w:val="22"/>
          <w:szCs w:val="22"/>
        </w:rPr>
        <w:t xml:space="preserve">, and the </w:t>
      </w:r>
      <w:r w:rsidR="000A1B0A" w:rsidRPr="006B4727">
        <w:rPr>
          <w:sz w:val="22"/>
          <w:szCs w:val="22"/>
        </w:rPr>
        <w:t>U.K</w:t>
      </w:r>
      <w:r w:rsidR="00655715" w:rsidRPr="006B4727">
        <w:rPr>
          <w:sz w:val="22"/>
          <w:szCs w:val="22"/>
        </w:rPr>
        <w:t xml:space="preserve"> was contrasted with Germany.</w:t>
      </w:r>
      <w:r w:rsidR="00833525" w:rsidRPr="006B4727">
        <w:rPr>
          <w:sz w:val="22"/>
          <w:szCs w:val="22"/>
        </w:rPr>
        <w:t xml:space="preserve"> We develop</w:t>
      </w:r>
      <w:r w:rsidR="00ED5F4C" w:rsidRPr="006B4727">
        <w:rPr>
          <w:sz w:val="22"/>
          <w:szCs w:val="22"/>
        </w:rPr>
        <w:t>ed</w:t>
      </w:r>
      <w:r w:rsidR="00833525" w:rsidRPr="006B4727">
        <w:rPr>
          <w:sz w:val="22"/>
          <w:szCs w:val="22"/>
        </w:rPr>
        <w:t xml:space="preserve"> a model with an exponential distribution</w:t>
      </w:r>
      <w:r w:rsidR="00FC565C" w:rsidRPr="006B4727">
        <w:rPr>
          <w:sz w:val="22"/>
          <w:szCs w:val="22"/>
        </w:rPr>
        <w:t>, which</w:t>
      </w:r>
      <w:r w:rsidR="00833525" w:rsidRPr="006B4727">
        <w:rPr>
          <w:sz w:val="22"/>
          <w:szCs w:val="22"/>
        </w:rPr>
        <w:t xml:space="preserve"> was deemed to provide the best fit for our data</w:t>
      </w:r>
      <w:r w:rsidR="00C53AE7" w:rsidRPr="006B4727">
        <w:rPr>
          <w:sz w:val="22"/>
          <w:szCs w:val="22"/>
        </w:rPr>
        <w:t>,</w:t>
      </w:r>
      <w:r w:rsidR="00833525" w:rsidRPr="006B4727">
        <w:rPr>
          <w:sz w:val="22"/>
          <w:szCs w:val="22"/>
        </w:rPr>
        <w:t xml:space="preserve"> as indicated by the scale variable</w:t>
      </w:r>
      <w:r w:rsidR="00655715" w:rsidRPr="006B4727">
        <w:rPr>
          <w:sz w:val="22"/>
          <w:szCs w:val="22"/>
        </w:rPr>
        <w:t>s for each model</w:t>
      </w:r>
      <w:r w:rsidR="00833525" w:rsidRPr="006B4727">
        <w:rPr>
          <w:sz w:val="22"/>
          <w:szCs w:val="22"/>
        </w:rPr>
        <w:t xml:space="preserve"> (which was </w:t>
      </w:r>
      <w:r w:rsidR="00655715" w:rsidRPr="006B4727">
        <w:rPr>
          <w:sz w:val="22"/>
          <w:szCs w:val="22"/>
        </w:rPr>
        <w:t>close to</w:t>
      </w:r>
      <w:r w:rsidR="00833525" w:rsidRPr="006B4727">
        <w:rPr>
          <w:sz w:val="22"/>
          <w:szCs w:val="22"/>
        </w:rPr>
        <w:t xml:space="preserve"> 1) and a visual representation of the hazard plot</w:t>
      </w:r>
      <w:r w:rsidR="00655715" w:rsidRPr="006B4727">
        <w:rPr>
          <w:sz w:val="22"/>
          <w:szCs w:val="22"/>
        </w:rPr>
        <w:t>s</w:t>
      </w:r>
      <w:r w:rsidR="00833525" w:rsidRPr="006B4727">
        <w:rPr>
          <w:sz w:val="22"/>
          <w:szCs w:val="22"/>
        </w:rPr>
        <w:t xml:space="preserve">. </w:t>
      </w:r>
      <w:r w:rsidR="00D2773E" w:rsidRPr="006B4727">
        <w:rPr>
          <w:sz w:val="22"/>
          <w:szCs w:val="22"/>
        </w:rPr>
        <w:t>We used the Lagrange multiplier to ascertain the model significan</w:t>
      </w:r>
      <w:r w:rsidR="00083C02" w:rsidRPr="006B4727">
        <w:rPr>
          <w:sz w:val="22"/>
          <w:szCs w:val="22"/>
        </w:rPr>
        <w:t>ce</w:t>
      </w:r>
      <w:r w:rsidR="001B7456" w:rsidRPr="006B4727">
        <w:rPr>
          <w:sz w:val="22"/>
          <w:szCs w:val="22"/>
        </w:rPr>
        <w:t xml:space="preserve"> for each pair</w:t>
      </w:r>
      <w:r w:rsidR="00A14AE1" w:rsidRPr="006B4727">
        <w:rPr>
          <w:sz w:val="22"/>
          <w:szCs w:val="22"/>
        </w:rPr>
        <w:t xml:space="preserve">. </w:t>
      </w:r>
      <w:r w:rsidR="002619E9" w:rsidRPr="006B4727">
        <w:rPr>
          <w:sz w:val="22"/>
          <w:szCs w:val="22"/>
        </w:rPr>
        <w:t xml:space="preserve">The parameter estimates for each </w:t>
      </w:r>
      <w:r w:rsidR="001B7456" w:rsidRPr="006B4727">
        <w:rPr>
          <w:sz w:val="22"/>
          <w:szCs w:val="22"/>
        </w:rPr>
        <w:t>covariate in our models</w:t>
      </w:r>
      <w:r w:rsidR="002619E9" w:rsidRPr="006B4727">
        <w:rPr>
          <w:sz w:val="22"/>
          <w:szCs w:val="22"/>
        </w:rPr>
        <w:t xml:space="preserve"> </w:t>
      </w:r>
      <w:r w:rsidR="00F96D29" w:rsidRPr="006B4727">
        <w:rPr>
          <w:sz w:val="22"/>
          <w:szCs w:val="22"/>
        </w:rPr>
        <w:t>are</w:t>
      </w:r>
      <w:r w:rsidR="002619E9" w:rsidRPr="006B4727">
        <w:rPr>
          <w:sz w:val="22"/>
          <w:szCs w:val="22"/>
        </w:rPr>
        <w:t xml:space="preserve"> </w:t>
      </w:r>
      <w:r w:rsidR="000B577E" w:rsidRPr="006B4727">
        <w:rPr>
          <w:sz w:val="22"/>
          <w:szCs w:val="22"/>
        </w:rPr>
        <w:t>present</w:t>
      </w:r>
      <w:r w:rsidR="00366F4C" w:rsidRPr="006B4727">
        <w:rPr>
          <w:sz w:val="22"/>
          <w:szCs w:val="22"/>
        </w:rPr>
        <w:t xml:space="preserve">ed in Table </w:t>
      </w:r>
      <w:r w:rsidR="001B7456" w:rsidRPr="006B4727">
        <w:rPr>
          <w:sz w:val="22"/>
          <w:szCs w:val="22"/>
        </w:rPr>
        <w:t>5</w:t>
      </w:r>
      <w:r w:rsidR="00DD5859" w:rsidRPr="006B4727">
        <w:rPr>
          <w:sz w:val="22"/>
          <w:szCs w:val="22"/>
        </w:rPr>
        <w:t>.</w:t>
      </w:r>
      <w:r w:rsidR="00954DD4" w:rsidRPr="006B4727">
        <w:rPr>
          <w:sz w:val="22"/>
          <w:szCs w:val="22"/>
        </w:rPr>
        <w:t xml:space="preserve"> </w:t>
      </w:r>
    </w:p>
    <w:p w14:paraId="4769C178" w14:textId="0DC78B40" w:rsidR="008E66D6" w:rsidRPr="006B4727" w:rsidRDefault="00954DD4" w:rsidP="006324E2">
      <w:pPr>
        <w:spacing w:line="480" w:lineRule="auto"/>
        <w:ind w:firstLine="720"/>
        <w:rPr>
          <w:sz w:val="22"/>
          <w:szCs w:val="22"/>
        </w:rPr>
      </w:pPr>
      <w:r w:rsidRPr="006B4727">
        <w:rPr>
          <w:sz w:val="22"/>
          <w:szCs w:val="22"/>
        </w:rPr>
        <w:t>We found a significant and negative coefficient for both countries w</w:t>
      </w:r>
      <w:r w:rsidR="00F237C9" w:rsidRPr="006B4727">
        <w:rPr>
          <w:sz w:val="22"/>
          <w:szCs w:val="22"/>
        </w:rPr>
        <w:t>h</w:t>
      </w:r>
      <w:r w:rsidRPr="006B4727">
        <w:rPr>
          <w:sz w:val="22"/>
          <w:szCs w:val="22"/>
        </w:rPr>
        <w:t xml:space="preserve">ere the regulatory environment focused on consumers (U.K vs U.S </w:t>
      </w:r>
      <w:r w:rsidR="00F237C9" w:rsidRPr="006B4727">
        <w:rPr>
          <w:sz w:val="22"/>
          <w:szCs w:val="22"/>
        </w:rPr>
        <w:t>and</w:t>
      </w:r>
      <w:r w:rsidRPr="006B4727">
        <w:rPr>
          <w:sz w:val="22"/>
          <w:szCs w:val="22"/>
        </w:rPr>
        <w:t xml:space="preserve"> Germany vs. U.S). </w:t>
      </w:r>
      <w:r w:rsidR="008E66D6" w:rsidRPr="006B4727">
        <w:rPr>
          <w:sz w:val="22"/>
          <w:szCs w:val="22"/>
        </w:rPr>
        <w:t xml:space="preserve">Specifically, </w:t>
      </w:r>
      <w:r w:rsidR="00AA381E" w:rsidRPr="006B4727">
        <w:rPr>
          <w:sz w:val="22"/>
          <w:szCs w:val="22"/>
        </w:rPr>
        <w:t xml:space="preserve">vehicles were recalled at a faster rate </w:t>
      </w:r>
      <w:r w:rsidR="008E66D6" w:rsidRPr="006B4727">
        <w:rPr>
          <w:sz w:val="22"/>
          <w:szCs w:val="22"/>
        </w:rPr>
        <w:t xml:space="preserve">in the U.K compared to the U.S </w:t>
      </w:r>
      <w:r w:rsidR="00AA381E" w:rsidRPr="006B4727">
        <w:rPr>
          <w:sz w:val="22"/>
          <w:szCs w:val="22"/>
        </w:rPr>
        <w:t xml:space="preserve">(β = -0.2224, </w:t>
      </w:r>
      <w:r w:rsidR="00AA381E" w:rsidRPr="006B4727">
        <w:rPr>
          <w:i/>
          <w:iCs/>
          <w:sz w:val="22"/>
          <w:szCs w:val="22"/>
        </w:rPr>
        <w:t>p</w:t>
      </w:r>
      <w:r w:rsidR="00AA381E" w:rsidRPr="006B4727">
        <w:rPr>
          <w:sz w:val="22"/>
          <w:szCs w:val="22"/>
        </w:rPr>
        <w:t xml:space="preserve"> &lt; 0.05)</w:t>
      </w:r>
      <w:r w:rsidR="008E66D6" w:rsidRPr="006B4727">
        <w:rPr>
          <w:sz w:val="22"/>
          <w:szCs w:val="22"/>
        </w:rPr>
        <w:t xml:space="preserve"> and </w:t>
      </w:r>
      <w:r w:rsidR="00AA381E" w:rsidRPr="006B4727">
        <w:rPr>
          <w:sz w:val="22"/>
          <w:szCs w:val="22"/>
        </w:rPr>
        <w:t xml:space="preserve">in Germany </w:t>
      </w:r>
      <w:r w:rsidR="008E66D6" w:rsidRPr="006B4727">
        <w:rPr>
          <w:sz w:val="22"/>
          <w:szCs w:val="22"/>
        </w:rPr>
        <w:t>compared to</w:t>
      </w:r>
      <w:r w:rsidR="00AA381E" w:rsidRPr="006B4727">
        <w:rPr>
          <w:sz w:val="22"/>
          <w:szCs w:val="22"/>
        </w:rPr>
        <w:t xml:space="preserve"> the U.S (β = -0.7365, </w:t>
      </w:r>
      <w:r w:rsidR="00AA381E" w:rsidRPr="006B4727">
        <w:rPr>
          <w:i/>
          <w:iCs/>
          <w:sz w:val="22"/>
          <w:szCs w:val="22"/>
        </w:rPr>
        <w:t>p</w:t>
      </w:r>
      <w:r w:rsidR="00AA381E" w:rsidRPr="006B4727">
        <w:rPr>
          <w:sz w:val="22"/>
          <w:szCs w:val="22"/>
        </w:rPr>
        <w:t xml:space="preserve"> &lt; 0.05). </w:t>
      </w:r>
      <w:r w:rsidRPr="006B4727">
        <w:rPr>
          <w:sz w:val="22"/>
          <w:szCs w:val="22"/>
        </w:rPr>
        <w:t xml:space="preserve">Countries that had the same regulatory environment showed no significant differences between them (U.K vs. Germany </w:t>
      </w:r>
      <w:r w:rsidR="00F237C9" w:rsidRPr="006B4727">
        <w:rPr>
          <w:sz w:val="22"/>
          <w:szCs w:val="22"/>
        </w:rPr>
        <w:t>and</w:t>
      </w:r>
      <w:r w:rsidRPr="006B4727">
        <w:rPr>
          <w:sz w:val="22"/>
          <w:szCs w:val="22"/>
        </w:rPr>
        <w:t xml:space="preserve"> U.S vs. Australia). All significant coefficients were in the direction we expected, displaying greater responsiveness for </w:t>
      </w:r>
      <w:r w:rsidR="004D32A4">
        <w:rPr>
          <w:sz w:val="22"/>
          <w:szCs w:val="22"/>
        </w:rPr>
        <w:t xml:space="preserve">product safety environments that </w:t>
      </w:r>
      <w:r w:rsidR="00910DE4">
        <w:rPr>
          <w:sz w:val="22"/>
          <w:szCs w:val="22"/>
        </w:rPr>
        <w:t>included consumer liability</w:t>
      </w:r>
      <w:r w:rsidR="004D32A4">
        <w:rPr>
          <w:sz w:val="22"/>
          <w:szCs w:val="22"/>
        </w:rPr>
        <w:t xml:space="preserve"> </w:t>
      </w:r>
      <w:r w:rsidRPr="006B4727">
        <w:rPr>
          <w:sz w:val="22"/>
          <w:szCs w:val="22"/>
        </w:rPr>
        <w:t xml:space="preserve">and standardized products (Table 5). </w:t>
      </w:r>
      <w:r w:rsidR="00BC0AAD" w:rsidRPr="006B4727">
        <w:rPr>
          <w:sz w:val="22"/>
          <w:szCs w:val="22"/>
        </w:rPr>
        <w:t xml:space="preserve"> </w:t>
      </w:r>
    </w:p>
    <w:p w14:paraId="6C953E77" w14:textId="0F338B0A" w:rsidR="00DD5859" w:rsidRPr="006B4727" w:rsidRDefault="00BC0AAD" w:rsidP="00BE498D">
      <w:pPr>
        <w:spacing w:line="480" w:lineRule="auto"/>
        <w:ind w:firstLine="720"/>
        <w:rPr>
          <w:sz w:val="22"/>
          <w:szCs w:val="22"/>
        </w:rPr>
      </w:pPr>
      <w:r w:rsidRPr="006B4727">
        <w:rPr>
          <w:sz w:val="22"/>
          <w:szCs w:val="22"/>
        </w:rPr>
        <w:t>It should be noted that we only tested the standardization variable between the U.S and the U.K because of the lack of availability on vehicle specifications in Germany and Australia.</w:t>
      </w:r>
      <w:r w:rsidR="009A12F9" w:rsidRPr="006B4727">
        <w:rPr>
          <w:sz w:val="22"/>
          <w:szCs w:val="22"/>
        </w:rPr>
        <w:t xml:space="preserve"> </w:t>
      </w:r>
      <w:r w:rsidR="009E7C7C" w:rsidRPr="006B4727">
        <w:rPr>
          <w:sz w:val="22"/>
          <w:szCs w:val="22"/>
        </w:rPr>
        <w:t xml:space="preserve">We found that vehicles which were standardized across markets were more likely to be recalled faster (β = -0.4727, </w:t>
      </w:r>
      <w:r w:rsidR="009E7C7C" w:rsidRPr="006B4727">
        <w:rPr>
          <w:i/>
          <w:iCs/>
          <w:sz w:val="22"/>
          <w:szCs w:val="22"/>
        </w:rPr>
        <w:t>p</w:t>
      </w:r>
      <w:r w:rsidR="009E7C7C" w:rsidRPr="006B4727">
        <w:rPr>
          <w:sz w:val="22"/>
          <w:szCs w:val="22"/>
        </w:rPr>
        <w:t xml:space="preserve"> &lt; 0.05). </w:t>
      </w:r>
    </w:p>
    <w:p w14:paraId="348A4BA0" w14:textId="29CC38D3" w:rsidR="00E908A6" w:rsidRPr="006B4727" w:rsidRDefault="00ED5F4C" w:rsidP="006324E2">
      <w:pPr>
        <w:spacing w:line="480" w:lineRule="auto"/>
        <w:ind w:firstLine="720"/>
        <w:jc w:val="center"/>
        <w:rPr>
          <w:sz w:val="22"/>
          <w:szCs w:val="22"/>
        </w:rPr>
      </w:pPr>
      <w:r w:rsidRPr="006B4727">
        <w:rPr>
          <w:sz w:val="22"/>
          <w:szCs w:val="22"/>
        </w:rPr>
        <w:t>&lt;Please in</w:t>
      </w:r>
      <w:r w:rsidR="00FD1901" w:rsidRPr="006B4727">
        <w:rPr>
          <w:sz w:val="22"/>
          <w:szCs w:val="22"/>
        </w:rPr>
        <w:t xml:space="preserve">sert Table </w:t>
      </w:r>
      <w:r w:rsidR="001B7456" w:rsidRPr="006B4727">
        <w:rPr>
          <w:sz w:val="22"/>
          <w:szCs w:val="22"/>
        </w:rPr>
        <w:t xml:space="preserve">5 </w:t>
      </w:r>
      <w:r w:rsidR="00DD5859" w:rsidRPr="006B4727">
        <w:rPr>
          <w:sz w:val="22"/>
          <w:szCs w:val="22"/>
        </w:rPr>
        <w:t>about here&gt;</w:t>
      </w:r>
    </w:p>
    <w:p w14:paraId="3883FE49" w14:textId="4DB88FA1" w:rsidR="00CA6CC5" w:rsidRPr="006B4727" w:rsidRDefault="00E21228" w:rsidP="006324E2">
      <w:pPr>
        <w:spacing w:line="480" w:lineRule="auto"/>
        <w:ind w:firstLine="720"/>
        <w:rPr>
          <w:sz w:val="22"/>
          <w:szCs w:val="22"/>
        </w:rPr>
      </w:pPr>
      <w:r w:rsidRPr="006B4727">
        <w:rPr>
          <w:sz w:val="22"/>
          <w:szCs w:val="22"/>
        </w:rPr>
        <w:t>T</w:t>
      </w:r>
      <w:r w:rsidR="007D2843" w:rsidRPr="006B4727">
        <w:rPr>
          <w:sz w:val="22"/>
          <w:szCs w:val="22"/>
        </w:rPr>
        <w:t xml:space="preserve">he estimate for </w:t>
      </w:r>
      <w:r w:rsidRPr="006B4727">
        <w:rPr>
          <w:sz w:val="22"/>
          <w:szCs w:val="22"/>
        </w:rPr>
        <w:t xml:space="preserve">both </w:t>
      </w:r>
      <w:r w:rsidR="007D2843" w:rsidRPr="006B4727">
        <w:rPr>
          <w:sz w:val="22"/>
          <w:szCs w:val="22"/>
        </w:rPr>
        <w:t xml:space="preserve">the Scale and the Weibull Shape </w:t>
      </w:r>
      <w:r w:rsidR="00FC565C" w:rsidRPr="006B4727">
        <w:rPr>
          <w:sz w:val="22"/>
          <w:szCs w:val="22"/>
        </w:rPr>
        <w:t>was</w:t>
      </w:r>
      <w:r w:rsidR="007D2843" w:rsidRPr="006B4727">
        <w:rPr>
          <w:sz w:val="22"/>
          <w:szCs w:val="22"/>
        </w:rPr>
        <w:t xml:space="preserve"> 1</w:t>
      </w:r>
      <w:r w:rsidRPr="006B4727">
        <w:rPr>
          <w:sz w:val="22"/>
          <w:szCs w:val="22"/>
        </w:rPr>
        <w:t>,</w:t>
      </w:r>
      <w:r w:rsidR="007D2843" w:rsidRPr="006B4727">
        <w:rPr>
          <w:sz w:val="22"/>
          <w:szCs w:val="22"/>
        </w:rPr>
        <w:t xml:space="preserve"> which indicate</w:t>
      </w:r>
      <w:r w:rsidR="00FC565C" w:rsidRPr="006B4727">
        <w:rPr>
          <w:sz w:val="22"/>
          <w:szCs w:val="22"/>
        </w:rPr>
        <w:t>d</w:t>
      </w:r>
      <w:r w:rsidR="007D2843" w:rsidRPr="006B4727">
        <w:rPr>
          <w:sz w:val="22"/>
          <w:szCs w:val="22"/>
        </w:rPr>
        <w:t xml:space="preserve"> a constant</w:t>
      </w:r>
      <w:r w:rsidRPr="006B4727">
        <w:rPr>
          <w:sz w:val="22"/>
          <w:szCs w:val="22"/>
        </w:rPr>
        <w:t>ly</w:t>
      </w:r>
      <w:r w:rsidR="007D2843" w:rsidRPr="006B4727">
        <w:rPr>
          <w:sz w:val="22"/>
          <w:szCs w:val="22"/>
        </w:rPr>
        <w:t xml:space="preserve"> increasing hazard in our model. A plot of the Weibull hazard function show</w:t>
      </w:r>
      <w:r w:rsidR="00FC565C" w:rsidRPr="006B4727">
        <w:rPr>
          <w:sz w:val="22"/>
          <w:szCs w:val="22"/>
        </w:rPr>
        <w:t>ed</w:t>
      </w:r>
      <w:r w:rsidR="007D2843" w:rsidRPr="006B4727">
        <w:rPr>
          <w:sz w:val="22"/>
          <w:szCs w:val="22"/>
        </w:rPr>
        <w:t xml:space="preserve"> a sudden increase early on</w:t>
      </w:r>
      <w:r w:rsidRPr="006B4727">
        <w:rPr>
          <w:sz w:val="22"/>
          <w:szCs w:val="22"/>
        </w:rPr>
        <w:t>,</w:t>
      </w:r>
      <w:r w:rsidR="007D2843" w:rsidRPr="006B4727">
        <w:rPr>
          <w:sz w:val="22"/>
          <w:szCs w:val="22"/>
        </w:rPr>
        <w:t xml:space="preserve"> followed by a constant increase over the remaining time.</w:t>
      </w:r>
      <w:r w:rsidR="00416274" w:rsidRPr="006B4727">
        <w:rPr>
          <w:sz w:val="22"/>
          <w:szCs w:val="22"/>
        </w:rPr>
        <w:t xml:space="preserve"> Based on the significance of the parameter estimates</w:t>
      </w:r>
      <w:r w:rsidR="009F3D50" w:rsidRPr="006B4727">
        <w:rPr>
          <w:sz w:val="22"/>
          <w:szCs w:val="22"/>
        </w:rPr>
        <w:t>,</w:t>
      </w:r>
      <w:r w:rsidR="00ED5F4C" w:rsidRPr="006B4727">
        <w:rPr>
          <w:sz w:val="22"/>
          <w:szCs w:val="22"/>
        </w:rPr>
        <w:t xml:space="preserve"> </w:t>
      </w:r>
      <w:r w:rsidR="00101383" w:rsidRPr="006B4727">
        <w:rPr>
          <w:sz w:val="22"/>
          <w:szCs w:val="22"/>
        </w:rPr>
        <w:t xml:space="preserve">both </w:t>
      </w:r>
      <w:r w:rsidR="00ED5F4C" w:rsidRPr="006B4727">
        <w:rPr>
          <w:sz w:val="22"/>
          <w:szCs w:val="22"/>
        </w:rPr>
        <w:t>of our hypotheses we</w:t>
      </w:r>
      <w:r w:rsidR="001D6EBB" w:rsidRPr="006B4727">
        <w:rPr>
          <w:sz w:val="22"/>
          <w:szCs w:val="22"/>
        </w:rPr>
        <w:t>re supported</w:t>
      </w:r>
      <w:r w:rsidR="00786667" w:rsidRPr="006B4727">
        <w:rPr>
          <w:sz w:val="22"/>
          <w:szCs w:val="22"/>
        </w:rPr>
        <w:t>.</w:t>
      </w:r>
      <w:r w:rsidR="00CA6CC5" w:rsidRPr="006B4727">
        <w:rPr>
          <w:sz w:val="22"/>
          <w:szCs w:val="22"/>
        </w:rPr>
        <w:t xml:space="preserve"> </w:t>
      </w:r>
      <w:r w:rsidR="00101383" w:rsidRPr="006B4727">
        <w:rPr>
          <w:sz w:val="22"/>
          <w:szCs w:val="22"/>
        </w:rPr>
        <w:t xml:space="preserve">As predicted in H1, products were recalled faster in markets that engaged consumers in product safety (the </w:t>
      </w:r>
      <w:r w:rsidR="000A1B0A" w:rsidRPr="006B4727">
        <w:rPr>
          <w:sz w:val="22"/>
          <w:szCs w:val="22"/>
        </w:rPr>
        <w:t>U.K</w:t>
      </w:r>
      <w:r w:rsidR="00F237C9" w:rsidRPr="006B4727">
        <w:rPr>
          <w:sz w:val="22"/>
          <w:szCs w:val="22"/>
        </w:rPr>
        <w:t xml:space="preserve"> and Germany</w:t>
      </w:r>
      <w:r w:rsidR="00101383" w:rsidRPr="006B4727">
        <w:rPr>
          <w:sz w:val="22"/>
          <w:szCs w:val="22"/>
        </w:rPr>
        <w:t xml:space="preserve">) compared with markets where the regulatory authorities did not engage consumers (the </w:t>
      </w:r>
      <w:r w:rsidR="000A1B0A" w:rsidRPr="006B4727">
        <w:rPr>
          <w:sz w:val="22"/>
          <w:szCs w:val="22"/>
        </w:rPr>
        <w:t>U.S</w:t>
      </w:r>
      <w:r w:rsidR="00F237C9" w:rsidRPr="006B4727">
        <w:rPr>
          <w:sz w:val="22"/>
          <w:szCs w:val="22"/>
        </w:rPr>
        <w:t xml:space="preserve"> and Australia</w:t>
      </w:r>
      <w:r w:rsidR="00101383" w:rsidRPr="006B4727">
        <w:rPr>
          <w:sz w:val="22"/>
          <w:szCs w:val="22"/>
        </w:rPr>
        <w:t xml:space="preserve">). </w:t>
      </w:r>
      <w:r w:rsidR="00ED5F4C" w:rsidRPr="006B4727">
        <w:rPr>
          <w:sz w:val="22"/>
          <w:szCs w:val="22"/>
        </w:rPr>
        <w:t xml:space="preserve">Vehicles that were standardized across the two markets </w:t>
      </w:r>
      <w:r w:rsidR="00F237C9" w:rsidRPr="006B4727">
        <w:rPr>
          <w:sz w:val="22"/>
          <w:szCs w:val="22"/>
        </w:rPr>
        <w:t xml:space="preserve">where data was available (i.e., US and UK) </w:t>
      </w:r>
      <w:r w:rsidR="00ED5F4C" w:rsidRPr="006B4727">
        <w:rPr>
          <w:sz w:val="22"/>
          <w:szCs w:val="22"/>
        </w:rPr>
        <w:t>were recalled faster than those that were not standardized (H</w:t>
      </w:r>
      <w:r w:rsidR="00101383" w:rsidRPr="006B4727">
        <w:rPr>
          <w:sz w:val="22"/>
          <w:szCs w:val="22"/>
        </w:rPr>
        <w:t>2</w:t>
      </w:r>
      <w:r w:rsidR="00ED5F4C" w:rsidRPr="006B4727">
        <w:rPr>
          <w:sz w:val="22"/>
          <w:szCs w:val="22"/>
        </w:rPr>
        <w:t>).</w:t>
      </w:r>
      <w:r w:rsidR="004E703A" w:rsidRPr="006B4727">
        <w:rPr>
          <w:sz w:val="22"/>
          <w:szCs w:val="22"/>
        </w:rPr>
        <w:t xml:space="preserve"> </w:t>
      </w:r>
      <w:r w:rsidR="00ED5F4C" w:rsidRPr="006B4727">
        <w:rPr>
          <w:sz w:val="22"/>
          <w:szCs w:val="22"/>
        </w:rPr>
        <w:t>Among</w:t>
      </w:r>
      <w:r w:rsidR="00CA6CC5" w:rsidRPr="006B4727">
        <w:rPr>
          <w:sz w:val="22"/>
          <w:szCs w:val="22"/>
        </w:rPr>
        <w:t xml:space="preserve"> our control variables, only the </w:t>
      </w:r>
      <w:r w:rsidR="009977E1" w:rsidRPr="006B4727">
        <w:rPr>
          <w:i/>
          <w:sz w:val="22"/>
          <w:szCs w:val="22"/>
        </w:rPr>
        <w:t xml:space="preserve">number of vehicles recalled </w:t>
      </w:r>
      <w:r w:rsidR="00101383" w:rsidRPr="006B4727">
        <w:rPr>
          <w:sz w:val="22"/>
          <w:szCs w:val="22"/>
        </w:rPr>
        <w:lastRenderedPageBreak/>
        <w:t xml:space="preserve">and </w:t>
      </w:r>
      <w:proofErr w:type="spellStart"/>
      <w:r w:rsidR="00101383" w:rsidRPr="006B4727">
        <w:rPr>
          <w:i/>
          <w:sz w:val="22"/>
          <w:szCs w:val="22"/>
        </w:rPr>
        <w:t>generalism</w:t>
      </w:r>
      <w:proofErr w:type="spellEnd"/>
      <w:r w:rsidR="00101383" w:rsidRPr="006B4727">
        <w:rPr>
          <w:i/>
          <w:sz w:val="22"/>
          <w:szCs w:val="22"/>
        </w:rPr>
        <w:t xml:space="preserve"> </w:t>
      </w:r>
      <w:r w:rsidR="00CA6CC5" w:rsidRPr="006B4727">
        <w:rPr>
          <w:sz w:val="22"/>
          <w:szCs w:val="22"/>
        </w:rPr>
        <w:t xml:space="preserve">had a significant </w:t>
      </w:r>
      <w:r w:rsidR="00ED5F4C" w:rsidRPr="006B4727">
        <w:rPr>
          <w:sz w:val="22"/>
          <w:szCs w:val="22"/>
        </w:rPr>
        <w:t>effe</w:t>
      </w:r>
      <w:r w:rsidR="00CA6CC5" w:rsidRPr="006B4727">
        <w:rPr>
          <w:sz w:val="22"/>
          <w:szCs w:val="22"/>
        </w:rPr>
        <w:t>ct</w:t>
      </w:r>
      <w:r w:rsidR="00FC565C" w:rsidRPr="006B4727">
        <w:rPr>
          <w:sz w:val="22"/>
          <w:szCs w:val="22"/>
        </w:rPr>
        <w:t>,</w:t>
      </w:r>
      <w:r w:rsidR="004E703A" w:rsidRPr="006B4727">
        <w:rPr>
          <w:sz w:val="22"/>
          <w:szCs w:val="22"/>
        </w:rPr>
        <w:t xml:space="preserve"> indicating that firms</w:t>
      </w:r>
      <w:r w:rsidR="00CC1B92" w:rsidRPr="006B4727">
        <w:rPr>
          <w:sz w:val="22"/>
          <w:szCs w:val="22"/>
        </w:rPr>
        <w:t xml:space="preserve"> </w:t>
      </w:r>
      <w:r w:rsidR="008E66D6" w:rsidRPr="006B4727">
        <w:rPr>
          <w:sz w:val="22"/>
          <w:szCs w:val="22"/>
        </w:rPr>
        <w:t xml:space="preserve">take longer to issue a recall if they </w:t>
      </w:r>
      <w:r w:rsidR="00CC1B92" w:rsidRPr="006B4727">
        <w:rPr>
          <w:sz w:val="22"/>
          <w:szCs w:val="22"/>
        </w:rPr>
        <w:t xml:space="preserve">have a greater range of vehicles (high </w:t>
      </w:r>
      <w:proofErr w:type="spellStart"/>
      <w:r w:rsidR="00CC1B92" w:rsidRPr="006B4727">
        <w:rPr>
          <w:sz w:val="22"/>
          <w:szCs w:val="22"/>
        </w:rPr>
        <w:t>generalism</w:t>
      </w:r>
      <w:proofErr w:type="spellEnd"/>
      <w:r w:rsidR="00CC1B92" w:rsidRPr="006B4727">
        <w:rPr>
          <w:sz w:val="22"/>
          <w:szCs w:val="22"/>
        </w:rPr>
        <w:t>)</w:t>
      </w:r>
      <w:r w:rsidR="004E703A" w:rsidRPr="006B4727">
        <w:rPr>
          <w:sz w:val="22"/>
          <w:szCs w:val="22"/>
        </w:rPr>
        <w:t xml:space="preserve"> </w:t>
      </w:r>
      <w:r w:rsidR="008E66D6" w:rsidRPr="006B4727">
        <w:rPr>
          <w:sz w:val="22"/>
          <w:szCs w:val="22"/>
        </w:rPr>
        <w:t>or if a recall</w:t>
      </w:r>
      <w:r w:rsidR="004E703A" w:rsidRPr="006B4727">
        <w:rPr>
          <w:sz w:val="22"/>
          <w:szCs w:val="22"/>
        </w:rPr>
        <w:t xml:space="preserve"> involves a larger number of vehicles</w:t>
      </w:r>
      <w:r w:rsidR="00CA6CC5" w:rsidRPr="006B4727">
        <w:rPr>
          <w:sz w:val="22"/>
          <w:szCs w:val="22"/>
        </w:rPr>
        <w:t>.</w:t>
      </w:r>
      <w:r w:rsidR="00FC43EB" w:rsidRPr="006B4727">
        <w:rPr>
          <w:sz w:val="22"/>
          <w:szCs w:val="22"/>
        </w:rPr>
        <w:t xml:space="preserve"> The home country effects were all found to be insignificant. </w:t>
      </w:r>
      <w:r w:rsidR="008E4BBC" w:rsidRPr="006B4727">
        <w:rPr>
          <w:sz w:val="22"/>
          <w:szCs w:val="22"/>
        </w:rPr>
        <w:t xml:space="preserve">This is likely due to </w:t>
      </w:r>
      <w:r w:rsidR="008E66D6" w:rsidRPr="006B4727">
        <w:rPr>
          <w:sz w:val="22"/>
          <w:szCs w:val="22"/>
        </w:rPr>
        <w:t xml:space="preserve">the </w:t>
      </w:r>
      <w:r w:rsidR="008E4BBC" w:rsidRPr="006B4727">
        <w:rPr>
          <w:sz w:val="22"/>
          <w:szCs w:val="22"/>
        </w:rPr>
        <w:t xml:space="preserve">global nature of supply chains and dispersion of the decision making for the automakers. </w:t>
      </w:r>
      <w:bookmarkStart w:id="6" w:name="_Hlk139277182"/>
      <w:r w:rsidR="008E4BBC" w:rsidRPr="006B4727">
        <w:rPr>
          <w:sz w:val="22"/>
          <w:szCs w:val="22"/>
        </w:rPr>
        <w:t>Prior work has demonstrated that firms may be headquartered in one country but manufacture the majority of their cars in countries outside of the home market</w:t>
      </w:r>
      <w:r w:rsidR="008E66D6" w:rsidRPr="006B4727">
        <w:rPr>
          <w:sz w:val="22"/>
          <w:szCs w:val="22"/>
        </w:rPr>
        <w:t>.</w:t>
      </w:r>
      <w:r w:rsidR="008E4BBC" w:rsidRPr="006B4727">
        <w:rPr>
          <w:sz w:val="22"/>
          <w:szCs w:val="22"/>
        </w:rPr>
        <w:t xml:space="preserve"> Furthermore, manufacturing in the foreign market may make the automaker more responsive in that market above their home market (Majid and Bapuji, 2018). This may have resulted in the home country effect being insignificant in our model.  </w:t>
      </w:r>
      <w:bookmarkEnd w:id="6"/>
      <w:r w:rsidR="00CA6CC5" w:rsidRPr="006B4727">
        <w:rPr>
          <w:sz w:val="22"/>
          <w:szCs w:val="22"/>
        </w:rPr>
        <w:t xml:space="preserve"> </w:t>
      </w:r>
    </w:p>
    <w:p w14:paraId="34662C7A" w14:textId="732FEDC3" w:rsidR="00CD3159" w:rsidRPr="00BE498D" w:rsidRDefault="000543A2" w:rsidP="006324E2">
      <w:pPr>
        <w:rPr>
          <w:b/>
          <w:sz w:val="22"/>
          <w:szCs w:val="22"/>
        </w:rPr>
      </w:pPr>
      <w:r w:rsidRPr="006B4727">
        <w:rPr>
          <w:b/>
          <w:sz w:val="22"/>
          <w:szCs w:val="22"/>
        </w:rPr>
        <w:t xml:space="preserve">Robustness </w:t>
      </w:r>
      <w:r w:rsidR="006324E2">
        <w:rPr>
          <w:b/>
          <w:sz w:val="22"/>
          <w:szCs w:val="22"/>
        </w:rPr>
        <w:t>t</w:t>
      </w:r>
      <w:r w:rsidRPr="00BE498D">
        <w:rPr>
          <w:b/>
          <w:sz w:val="22"/>
          <w:szCs w:val="22"/>
        </w:rPr>
        <w:t>est</w:t>
      </w:r>
    </w:p>
    <w:p w14:paraId="0CC7CAF0" w14:textId="3B35C96D" w:rsidR="00D602A1" w:rsidRPr="00BE498D" w:rsidRDefault="000543A2" w:rsidP="00BE498D">
      <w:pPr>
        <w:spacing w:line="480" w:lineRule="auto"/>
        <w:ind w:firstLine="720"/>
        <w:rPr>
          <w:bCs/>
          <w:sz w:val="22"/>
          <w:szCs w:val="22"/>
        </w:rPr>
      </w:pPr>
      <w:r w:rsidRPr="00BE498D">
        <w:rPr>
          <w:bCs/>
          <w:sz w:val="22"/>
          <w:szCs w:val="22"/>
        </w:rPr>
        <w:t xml:space="preserve">To </w:t>
      </w:r>
      <w:r w:rsidR="00C62486" w:rsidRPr="00BE498D">
        <w:rPr>
          <w:bCs/>
          <w:sz w:val="22"/>
          <w:szCs w:val="22"/>
        </w:rPr>
        <w:t xml:space="preserve">validate </w:t>
      </w:r>
      <w:r w:rsidR="0059324C" w:rsidRPr="00BE498D">
        <w:rPr>
          <w:bCs/>
          <w:sz w:val="22"/>
          <w:szCs w:val="22"/>
        </w:rPr>
        <w:t xml:space="preserve">our findings related to </w:t>
      </w:r>
      <w:r w:rsidR="004D32A4">
        <w:rPr>
          <w:bCs/>
          <w:sz w:val="22"/>
          <w:szCs w:val="22"/>
        </w:rPr>
        <w:t>consumer liability</w:t>
      </w:r>
      <w:r w:rsidR="0059324C" w:rsidRPr="00BE498D">
        <w:rPr>
          <w:bCs/>
          <w:sz w:val="22"/>
          <w:szCs w:val="22"/>
        </w:rPr>
        <w:t xml:space="preserve"> and responsiveness</w:t>
      </w:r>
      <w:r w:rsidR="00C62486" w:rsidRPr="00BE498D">
        <w:rPr>
          <w:bCs/>
          <w:sz w:val="22"/>
          <w:szCs w:val="22"/>
        </w:rPr>
        <w:t>,</w:t>
      </w:r>
      <w:r w:rsidR="0059324C" w:rsidRPr="00BE498D">
        <w:rPr>
          <w:bCs/>
          <w:sz w:val="22"/>
          <w:szCs w:val="22"/>
        </w:rPr>
        <w:t xml:space="preserve"> we had to rule out litigiousness as a confound. It can be argued that countries with </w:t>
      </w:r>
      <w:r w:rsidR="008E66D6" w:rsidRPr="00BE498D">
        <w:rPr>
          <w:bCs/>
          <w:sz w:val="22"/>
          <w:szCs w:val="22"/>
        </w:rPr>
        <w:t>higher</w:t>
      </w:r>
      <w:r w:rsidR="0059324C" w:rsidRPr="00BE498D">
        <w:rPr>
          <w:bCs/>
          <w:sz w:val="22"/>
          <w:szCs w:val="22"/>
        </w:rPr>
        <w:t xml:space="preserve"> litigiousness</w:t>
      </w:r>
      <w:r w:rsidR="00855517" w:rsidRPr="00BE498D">
        <w:rPr>
          <w:bCs/>
          <w:sz w:val="22"/>
          <w:szCs w:val="22"/>
        </w:rPr>
        <w:t xml:space="preserve"> create a more responsive environment because manufacturers are fearful of engaging in litigation over a product safety issue. </w:t>
      </w:r>
      <w:r w:rsidR="0073008E" w:rsidRPr="00BE498D">
        <w:rPr>
          <w:bCs/>
          <w:sz w:val="22"/>
          <w:szCs w:val="22"/>
        </w:rPr>
        <w:t xml:space="preserve">Using prior work </w:t>
      </w:r>
      <w:r w:rsidR="006F1B5C" w:rsidRPr="00BE498D">
        <w:rPr>
          <w:bCs/>
          <w:sz w:val="22"/>
          <w:szCs w:val="22"/>
        </w:rPr>
        <w:t xml:space="preserve">that compared the degree of litigiousness between countries </w:t>
      </w:r>
      <w:r w:rsidR="0073008E" w:rsidRPr="00BE498D">
        <w:rPr>
          <w:bCs/>
          <w:sz w:val="22"/>
          <w:szCs w:val="22"/>
        </w:rPr>
        <w:t>(Ramseyer &amp; Rasmusen, 2010)</w:t>
      </w:r>
      <w:r w:rsidR="006F1B5C" w:rsidRPr="00BE498D">
        <w:rPr>
          <w:bCs/>
          <w:sz w:val="22"/>
          <w:szCs w:val="22"/>
        </w:rPr>
        <w:t xml:space="preserve"> and examined the relationship between regulation and corporate social responsibility (Knudsen, 2018),</w:t>
      </w:r>
      <w:r w:rsidR="0073008E" w:rsidRPr="00BE498D">
        <w:rPr>
          <w:bCs/>
          <w:sz w:val="22"/>
          <w:szCs w:val="22"/>
        </w:rPr>
        <w:t xml:space="preserve"> </w:t>
      </w:r>
      <w:r w:rsidR="004F5F13" w:rsidRPr="00BE498D">
        <w:rPr>
          <w:bCs/>
          <w:sz w:val="22"/>
          <w:szCs w:val="22"/>
        </w:rPr>
        <w:t>we</w:t>
      </w:r>
      <w:r w:rsidR="00855517" w:rsidRPr="00BE498D">
        <w:rPr>
          <w:bCs/>
          <w:sz w:val="22"/>
          <w:szCs w:val="22"/>
        </w:rPr>
        <w:t xml:space="preserve"> extracted </w:t>
      </w:r>
      <w:r w:rsidR="006F1B5C" w:rsidRPr="00BE498D">
        <w:rPr>
          <w:bCs/>
          <w:sz w:val="22"/>
          <w:szCs w:val="22"/>
        </w:rPr>
        <w:t>a measure</w:t>
      </w:r>
      <w:r w:rsidR="00016D97" w:rsidRPr="00BE498D">
        <w:rPr>
          <w:bCs/>
          <w:sz w:val="22"/>
          <w:szCs w:val="22"/>
        </w:rPr>
        <w:t xml:space="preserve"> of comparative litigation</w:t>
      </w:r>
      <w:r w:rsidR="0073008E" w:rsidRPr="00BE498D">
        <w:rPr>
          <w:bCs/>
          <w:sz w:val="22"/>
          <w:szCs w:val="22"/>
        </w:rPr>
        <w:t xml:space="preserve"> for Australia, U.K, and the U.S: lawsuits filed (per 100,000</w:t>
      </w:r>
      <w:r w:rsidR="00C62486" w:rsidRPr="00BE498D">
        <w:rPr>
          <w:bCs/>
          <w:sz w:val="22"/>
          <w:szCs w:val="22"/>
        </w:rPr>
        <w:t xml:space="preserve"> people</w:t>
      </w:r>
      <w:r w:rsidR="0073008E" w:rsidRPr="00BE498D">
        <w:rPr>
          <w:bCs/>
          <w:sz w:val="22"/>
          <w:szCs w:val="22"/>
        </w:rPr>
        <w:t>)</w:t>
      </w:r>
      <w:r w:rsidR="006F1B5C" w:rsidRPr="00BE498D">
        <w:rPr>
          <w:bCs/>
          <w:sz w:val="22"/>
          <w:szCs w:val="22"/>
        </w:rPr>
        <w:t xml:space="preserve">, which was </w:t>
      </w:r>
      <w:r w:rsidR="008D3148" w:rsidRPr="00BE498D">
        <w:rPr>
          <w:bCs/>
          <w:sz w:val="22"/>
          <w:szCs w:val="22"/>
        </w:rPr>
        <w:t>5,806</w:t>
      </w:r>
      <w:r w:rsidR="006F1B5C" w:rsidRPr="00BE498D">
        <w:rPr>
          <w:bCs/>
          <w:sz w:val="22"/>
          <w:szCs w:val="22"/>
        </w:rPr>
        <w:t xml:space="preserve"> for the U.S</w:t>
      </w:r>
      <w:r w:rsidR="008D3148" w:rsidRPr="00BE498D">
        <w:rPr>
          <w:bCs/>
          <w:sz w:val="22"/>
          <w:szCs w:val="22"/>
        </w:rPr>
        <w:t>, 3,681 for the U.K, and 1,542 for Australia.</w:t>
      </w:r>
      <w:r w:rsidR="0073008E" w:rsidRPr="00BE498D">
        <w:rPr>
          <w:bCs/>
          <w:sz w:val="22"/>
          <w:szCs w:val="22"/>
        </w:rPr>
        <w:t xml:space="preserve"> Litigation information was not available for Germany.</w:t>
      </w:r>
    </w:p>
    <w:p w14:paraId="3FF4F297" w14:textId="5E6ED7B0" w:rsidR="000543A2" w:rsidRPr="00BE498D" w:rsidRDefault="00D602A1" w:rsidP="006324E2">
      <w:pPr>
        <w:spacing w:line="480" w:lineRule="auto"/>
        <w:rPr>
          <w:bCs/>
          <w:sz w:val="22"/>
          <w:szCs w:val="22"/>
        </w:rPr>
      </w:pPr>
      <w:r w:rsidRPr="00BE498D">
        <w:rPr>
          <w:bCs/>
          <w:sz w:val="22"/>
          <w:szCs w:val="22"/>
        </w:rPr>
        <w:tab/>
        <w:t xml:space="preserve">We charted the probability of recall over time above the comparison country (See Figures 4 and 5). We compared the probability of auto recall in the U.K over the U.S and the </w:t>
      </w:r>
      <w:r w:rsidR="00C62486" w:rsidRPr="00BE498D">
        <w:rPr>
          <w:bCs/>
          <w:sz w:val="22"/>
          <w:szCs w:val="22"/>
        </w:rPr>
        <w:t>probability</w:t>
      </w:r>
      <w:r w:rsidRPr="00BE498D">
        <w:rPr>
          <w:bCs/>
          <w:sz w:val="22"/>
          <w:szCs w:val="22"/>
        </w:rPr>
        <w:t xml:space="preserve"> of auto recall in the U.K over Australia. </w:t>
      </w:r>
      <w:r w:rsidR="004F5F13" w:rsidRPr="00BE498D">
        <w:rPr>
          <w:bCs/>
          <w:sz w:val="22"/>
          <w:szCs w:val="22"/>
        </w:rPr>
        <w:t xml:space="preserve"> </w:t>
      </w:r>
      <w:r w:rsidRPr="00BE498D">
        <w:rPr>
          <w:bCs/>
          <w:sz w:val="22"/>
          <w:szCs w:val="22"/>
        </w:rPr>
        <w:t>For example,</w:t>
      </w:r>
      <w:r w:rsidR="00395DF2" w:rsidRPr="00BE498D">
        <w:rPr>
          <w:bCs/>
          <w:sz w:val="22"/>
          <w:szCs w:val="22"/>
        </w:rPr>
        <w:t xml:space="preserve"> after six years</w:t>
      </w:r>
      <w:r w:rsidR="006F1B5C" w:rsidRPr="00BE498D">
        <w:rPr>
          <w:bCs/>
          <w:sz w:val="22"/>
          <w:szCs w:val="22"/>
        </w:rPr>
        <w:t xml:space="preserve"> in the market,</w:t>
      </w:r>
      <w:r w:rsidR="00395DF2" w:rsidRPr="00BE498D">
        <w:rPr>
          <w:bCs/>
          <w:sz w:val="22"/>
          <w:szCs w:val="22"/>
        </w:rPr>
        <w:t xml:space="preserve"> a vehicle has an approximate 66% chance of being recalled in the U.</w:t>
      </w:r>
      <w:r w:rsidR="001E3D76" w:rsidRPr="00BE498D">
        <w:rPr>
          <w:bCs/>
          <w:sz w:val="22"/>
          <w:szCs w:val="22"/>
        </w:rPr>
        <w:t>K</w:t>
      </w:r>
      <w:r w:rsidR="00395DF2" w:rsidRPr="00BE498D">
        <w:rPr>
          <w:bCs/>
          <w:sz w:val="22"/>
          <w:szCs w:val="22"/>
        </w:rPr>
        <w:t xml:space="preserve"> while the same vehicle in the U.S only has</w:t>
      </w:r>
      <w:r w:rsidR="008E7131" w:rsidRPr="00BE498D">
        <w:rPr>
          <w:bCs/>
          <w:sz w:val="22"/>
          <w:szCs w:val="22"/>
        </w:rPr>
        <w:t xml:space="preserve"> a 46% approximate likelihood of being recalled. </w:t>
      </w:r>
      <w:r w:rsidR="001E3D76" w:rsidRPr="00BE498D">
        <w:rPr>
          <w:bCs/>
          <w:sz w:val="22"/>
          <w:szCs w:val="22"/>
        </w:rPr>
        <w:t xml:space="preserve">In other words, a </w:t>
      </w:r>
      <w:r w:rsidR="008E7131" w:rsidRPr="00BE498D">
        <w:rPr>
          <w:bCs/>
          <w:sz w:val="22"/>
          <w:szCs w:val="22"/>
        </w:rPr>
        <w:t xml:space="preserve">given vehicle is </w:t>
      </w:r>
      <w:r w:rsidRPr="00BE498D">
        <w:rPr>
          <w:bCs/>
          <w:sz w:val="22"/>
          <w:szCs w:val="22"/>
        </w:rPr>
        <w:t xml:space="preserve">42% more likely to be recalled in </w:t>
      </w:r>
      <w:r w:rsidR="00D0641D" w:rsidRPr="00BE498D">
        <w:rPr>
          <w:bCs/>
          <w:sz w:val="22"/>
          <w:szCs w:val="22"/>
        </w:rPr>
        <w:t xml:space="preserve">the </w:t>
      </w:r>
      <w:r w:rsidRPr="00BE498D">
        <w:rPr>
          <w:bCs/>
          <w:sz w:val="22"/>
          <w:szCs w:val="22"/>
        </w:rPr>
        <w:t>U.K than it is in the U.S.</w:t>
      </w:r>
      <w:r w:rsidR="00D0641D" w:rsidRPr="00BE498D">
        <w:rPr>
          <w:bCs/>
          <w:sz w:val="22"/>
          <w:szCs w:val="22"/>
        </w:rPr>
        <w:t xml:space="preserve"> </w:t>
      </w:r>
      <w:r w:rsidR="00615BEC" w:rsidRPr="00BE498D">
        <w:rPr>
          <w:bCs/>
          <w:sz w:val="22"/>
          <w:szCs w:val="22"/>
        </w:rPr>
        <w:t>If responsiveness was positively correlated with litigiousness</w:t>
      </w:r>
      <w:r w:rsidR="00C62486" w:rsidRPr="00BE498D">
        <w:rPr>
          <w:bCs/>
          <w:sz w:val="22"/>
          <w:szCs w:val="22"/>
        </w:rPr>
        <w:t>,</w:t>
      </w:r>
      <w:r w:rsidRPr="00BE498D">
        <w:rPr>
          <w:bCs/>
          <w:sz w:val="22"/>
          <w:szCs w:val="22"/>
        </w:rPr>
        <w:t xml:space="preserve"> we would expect that the U.S would have the highest probability of recall over </w:t>
      </w:r>
      <w:r w:rsidR="00615BEC" w:rsidRPr="00BE498D">
        <w:rPr>
          <w:bCs/>
          <w:sz w:val="22"/>
          <w:szCs w:val="22"/>
        </w:rPr>
        <w:t>time,</w:t>
      </w:r>
      <w:r w:rsidRPr="00BE498D">
        <w:rPr>
          <w:bCs/>
          <w:sz w:val="22"/>
          <w:szCs w:val="22"/>
        </w:rPr>
        <w:t xml:space="preserve"> but it was significantly less than the U.K which has a lower rate of litigiousness.</w:t>
      </w:r>
      <w:r w:rsidR="00615BEC" w:rsidRPr="00BE498D">
        <w:rPr>
          <w:bCs/>
          <w:sz w:val="22"/>
          <w:szCs w:val="22"/>
        </w:rPr>
        <w:t xml:space="preserve"> We </w:t>
      </w:r>
      <w:r w:rsidR="00F237C9" w:rsidRPr="00BE498D">
        <w:rPr>
          <w:bCs/>
          <w:sz w:val="22"/>
          <w:szCs w:val="22"/>
        </w:rPr>
        <w:t>found</w:t>
      </w:r>
      <w:r w:rsidR="00615BEC" w:rsidRPr="00BE498D">
        <w:rPr>
          <w:bCs/>
          <w:sz w:val="22"/>
          <w:szCs w:val="22"/>
        </w:rPr>
        <w:t xml:space="preserve"> that the U.K, which has a higher rate of litigiousness</w:t>
      </w:r>
      <w:r w:rsidR="00F237C9" w:rsidRPr="00BE498D">
        <w:rPr>
          <w:bCs/>
          <w:sz w:val="22"/>
          <w:szCs w:val="22"/>
        </w:rPr>
        <w:t xml:space="preserve"> than Australia</w:t>
      </w:r>
      <w:r w:rsidR="00615BEC" w:rsidRPr="00BE498D">
        <w:rPr>
          <w:bCs/>
          <w:sz w:val="22"/>
          <w:szCs w:val="22"/>
        </w:rPr>
        <w:t xml:space="preserve">, had a higher probability of recalls over time than Australia. However, the inconsistency in </w:t>
      </w:r>
      <w:r w:rsidR="00615BEC" w:rsidRPr="00BE498D">
        <w:rPr>
          <w:bCs/>
          <w:sz w:val="22"/>
          <w:szCs w:val="22"/>
        </w:rPr>
        <w:lastRenderedPageBreak/>
        <w:t xml:space="preserve">the relationship between litigiousness and responsiveness is evident in non-significant </w:t>
      </w:r>
      <w:r w:rsidR="00C34294" w:rsidRPr="00BE498D">
        <w:rPr>
          <w:bCs/>
          <w:sz w:val="22"/>
          <w:szCs w:val="22"/>
        </w:rPr>
        <w:t xml:space="preserve">differences in responsiveness between </w:t>
      </w:r>
      <w:r w:rsidR="00147084" w:rsidRPr="00BE498D">
        <w:rPr>
          <w:bCs/>
          <w:sz w:val="22"/>
          <w:szCs w:val="22"/>
        </w:rPr>
        <w:t xml:space="preserve">the </w:t>
      </w:r>
      <w:r w:rsidR="00C34294" w:rsidRPr="00BE498D">
        <w:rPr>
          <w:bCs/>
          <w:sz w:val="22"/>
          <w:szCs w:val="22"/>
        </w:rPr>
        <w:t xml:space="preserve">U.S </w:t>
      </w:r>
      <w:r w:rsidR="00147084" w:rsidRPr="00BE498D">
        <w:rPr>
          <w:bCs/>
          <w:sz w:val="22"/>
          <w:szCs w:val="22"/>
        </w:rPr>
        <w:t xml:space="preserve">and Australia </w:t>
      </w:r>
      <w:r w:rsidR="00C34294" w:rsidRPr="00BE498D">
        <w:rPr>
          <w:bCs/>
          <w:sz w:val="22"/>
          <w:szCs w:val="22"/>
        </w:rPr>
        <w:t>despite the U.S having a much higher rate of litigiousness</w:t>
      </w:r>
      <w:r w:rsidR="001E3D76" w:rsidRPr="00BE498D">
        <w:rPr>
          <w:bCs/>
          <w:sz w:val="22"/>
          <w:szCs w:val="22"/>
        </w:rPr>
        <w:t>.</w:t>
      </w:r>
    </w:p>
    <w:p w14:paraId="564E2085" w14:textId="6A79A85F" w:rsidR="002A313A" w:rsidRPr="00BE498D" w:rsidRDefault="00422366" w:rsidP="00F276E7">
      <w:pPr>
        <w:rPr>
          <w:b/>
          <w:sz w:val="28"/>
          <w:szCs w:val="28"/>
        </w:rPr>
      </w:pPr>
      <w:r w:rsidRPr="00BE498D">
        <w:rPr>
          <w:b/>
          <w:sz w:val="28"/>
          <w:szCs w:val="28"/>
        </w:rPr>
        <w:t>DISCUSSION</w:t>
      </w:r>
    </w:p>
    <w:p w14:paraId="3F851365" w14:textId="77777777" w:rsidR="00DC0768" w:rsidRPr="00BE498D" w:rsidRDefault="001F06DB" w:rsidP="006324E2">
      <w:pPr>
        <w:spacing w:before="240" w:line="480" w:lineRule="auto"/>
        <w:ind w:firstLine="720"/>
        <w:rPr>
          <w:sz w:val="22"/>
          <w:szCs w:val="22"/>
        </w:rPr>
      </w:pPr>
      <w:r w:rsidRPr="00BE498D">
        <w:rPr>
          <w:sz w:val="22"/>
          <w:szCs w:val="22"/>
        </w:rPr>
        <w:t xml:space="preserve">Consumer product safety is an important public health and safety issue (Montiel et al., </w:t>
      </w:r>
      <w:r w:rsidR="00DC0768" w:rsidRPr="00BE498D">
        <w:rPr>
          <w:sz w:val="22"/>
          <w:szCs w:val="22"/>
        </w:rPr>
        <w:t>2022; Park et al., 2022). International business scholars have engaged with this topic to provide important insights and achieve impact on practice and policy (Bapuji &amp; Beamish, 2019). Further, the effect of regulations (and more broadly, institutions) on firms and firm responses to institutions is a vibrant area of inquiry. Drawing on insights from these streams of research, we examined how firms respond to regulatory differences with respect to public health and safety.</w:t>
      </w:r>
    </w:p>
    <w:p w14:paraId="266102AE" w14:textId="73AA9A59" w:rsidR="00BD3430" w:rsidRPr="00BE498D" w:rsidRDefault="00BD3430" w:rsidP="006324E2">
      <w:pPr>
        <w:spacing w:before="240" w:line="480" w:lineRule="auto"/>
        <w:ind w:firstLine="720"/>
        <w:rPr>
          <w:sz w:val="22"/>
          <w:szCs w:val="22"/>
        </w:rPr>
      </w:pPr>
      <w:proofErr w:type="spellStart"/>
      <w:r w:rsidRPr="00BE498D">
        <w:rPr>
          <w:sz w:val="22"/>
          <w:szCs w:val="22"/>
        </w:rPr>
        <w:t>Analyzing</w:t>
      </w:r>
      <w:proofErr w:type="spellEnd"/>
      <w:r w:rsidRPr="00BE498D">
        <w:rPr>
          <w:sz w:val="22"/>
          <w:szCs w:val="22"/>
        </w:rPr>
        <w:t xml:space="preserve"> 569 automobile recalls during 2003-2019 in four different markets that differed in their regulatory focus (i.e., whether </w:t>
      </w:r>
      <w:r w:rsidR="00AB1842">
        <w:rPr>
          <w:sz w:val="22"/>
          <w:szCs w:val="22"/>
        </w:rPr>
        <w:t xml:space="preserve">consumer liability is </w:t>
      </w:r>
      <w:r w:rsidR="00E43239">
        <w:rPr>
          <w:sz w:val="22"/>
          <w:szCs w:val="22"/>
        </w:rPr>
        <w:t>included</w:t>
      </w:r>
      <w:r w:rsidRPr="00BE498D">
        <w:rPr>
          <w:sz w:val="22"/>
          <w:szCs w:val="22"/>
        </w:rPr>
        <w:t xml:space="preserve"> to improve product safety), we found that a firm’s responsiveness during a product-harm crisis will be higher in markets where the </w:t>
      </w:r>
      <w:r w:rsidR="004D32A4">
        <w:rPr>
          <w:sz w:val="22"/>
          <w:szCs w:val="22"/>
        </w:rPr>
        <w:t xml:space="preserve">product safety </w:t>
      </w:r>
      <w:r w:rsidRPr="00BE498D">
        <w:rPr>
          <w:sz w:val="22"/>
          <w:szCs w:val="22"/>
        </w:rPr>
        <w:t xml:space="preserve">regulations </w:t>
      </w:r>
      <w:r w:rsidR="00E43239">
        <w:rPr>
          <w:sz w:val="22"/>
          <w:szCs w:val="22"/>
        </w:rPr>
        <w:t>include</w:t>
      </w:r>
      <w:r w:rsidR="004D32A4">
        <w:rPr>
          <w:sz w:val="22"/>
          <w:szCs w:val="22"/>
        </w:rPr>
        <w:t xml:space="preserve"> consumer liability</w:t>
      </w:r>
      <w:r w:rsidRPr="00BE498D">
        <w:rPr>
          <w:sz w:val="22"/>
          <w:szCs w:val="22"/>
        </w:rPr>
        <w:t xml:space="preserve">, than in markets where the regulations focus only on firms. We also found that products which were standardized across these two types of markets were recalled faster. </w:t>
      </w:r>
      <w:r w:rsidR="008E279B" w:rsidRPr="00BE498D">
        <w:rPr>
          <w:sz w:val="22"/>
          <w:szCs w:val="22"/>
        </w:rPr>
        <w:t xml:space="preserve">Our findings </w:t>
      </w:r>
      <w:r w:rsidRPr="00BE498D">
        <w:rPr>
          <w:sz w:val="22"/>
          <w:szCs w:val="22"/>
        </w:rPr>
        <w:t>make contributions to research on international business and product safety, and offer important implications for international business policy.</w:t>
      </w:r>
      <w:r w:rsidR="008E279B" w:rsidRPr="00BE498D">
        <w:rPr>
          <w:sz w:val="22"/>
          <w:szCs w:val="22"/>
        </w:rPr>
        <w:t xml:space="preserve">  </w:t>
      </w:r>
    </w:p>
    <w:p w14:paraId="71235043" w14:textId="25B56955" w:rsidR="00CD3159" w:rsidRPr="00BE498D" w:rsidRDefault="001F06DB" w:rsidP="006324E2">
      <w:pPr>
        <w:spacing w:line="480" w:lineRule="auto"/>
        <w:rPr>
          <w:b/>
          <w:bCs/>
          <w:sz w:val="22"/>
          <w:szCs w:val="22"/>
        </w:rPr>
      </w:pPr>
      <w:r w:rsidRPr="00BE498D">
        <w:rPr>
          <w:b/>
          <w:bCs/>
          <w:sz w:val="22"/>
          <w:szCs w:val="22"/>
        </w:rPr>
        <w:t>Contributions to</w:t>
      </w:r>
      <w:r w:rsidR="005C471B" w:rsidRPr="00BE498D">
        <w:rPr>
          <w:b/>
          <w:bCs/>
          <w:sz w:val="22"/>
          <w:szCs w:val="22"/>
        </w:rPr>
        <w:t xml:space="preserve"> </w:t>
      </w:r>
      <w:r w:rsidR="006324E2">
        <w:rPr>
          <w:b/>
          <w:bCs/>
          <w:sz w:val="22"/>
          <w:szCs w:val="22"/>
        </w:rPr>
        <w:t>IB</w:t>
      </w:r>
      <w:r w:rsidRPr="00BE498D">
        <w:rPr>
          <w:b/>
          <w:bCs/>
          <w:sz w:val="22"/>
          <w:szCs w:val="22"/>
        </w:rPr>
        <w:t xml:space="preserve"> </w:t>
      </w:r>
      <w:r w:rsidR="006324E2">
        <w:rPr>
          <w:b/>
          <w:bCs/>
          <w:sz w:val="22"/>
          <w:szCs w:val="22"/>
        </w:rPr>
        <w:t>r</w:t>
      </w:r>
      <w:r w:rsidRPr="00BE498D">
        <w:rPr>
          <w:b/>
          <w:bCs/>
          <w:sz w:val="22"/>
          <w:szCs w:val="22"/>
        </w:rPr>
        <w:t>esearch</w:t>
      </w:r>
    </w:p>
    <w:p w14:paraId="6EFDB680" w14:textId="05247814" w:rsidR="00BD3430" w:rsidRPr="00BE498D" w:rsidRDefault="00BD3430" w:rsidP="006324E2">
      <w:pPr>
        <w:spacing w:line="480" w:lineRule="auto"/>
        <w:ind w:firstLine="720"/>
        <w:rPr>
          <w:sz w:val="22"/>
          <w:szCs w:val="22"/>
        </w:rPr>
      </w:pPr>
      <w:r w:rsidRPr="00BE498D">
        <w:rPr>
          <w:sz w:val="22"/>
          <w:szCs w:val="22"/>
        </w:rPr>
        <w:t xml:space="preserve">Prior research on international business has </w:t>
      </w:r>
      <w:r w:rsidR="0062738F">
        <w:rPr>
          <w:sz w:val="22"/>
          <w:szCs w:val="22"/>
        </w:rPr>
        <w:t>recognized that</w:t>
      </w:r>
      <w:r w:rsidRPr="00BE498D">
        <w:rPr>
          <w:sz w:val="22"/>
          <w:szCs w:val="22"/>
        </w:rPr>
        <w:t xml:space="preserve"> institutions </w:t>
      </w:r>
      <w:r w:rsidR="0062738F">
        <w:rPr>
          <w:sz w:val="22"/>
          <w:szCs w:val="22"/>
        </w:rPr>
        <w:t>fill an important gap by addressing market failures</w:t>
      </w:r>
      <w:r w:rsidRPr="00BE498D">
        <w:rPr>
          <w:sz w:val="22"/>
          <w:szCs w:val="22"/>
        </w:rPr>
        <w:t xml:space="preserve"> </w:t>
      </w:r>
      <w:r w:rsidR="0062738F">
        <w:rPr>
          <w:sz w:val="22"/>
          <w:szCs w:val="22"/>
        </w:rPr>
        <w:t xml:space="preserve">and </w:t>
      </w:r>
      <w:r w:rsidRPr="00BE498D">
        <w:rPr>
          <w:sz w:val="22"/>
          <w:szCs w:val="22"/>
        </w:rPr>
        <w:t xml:space="preserve">emphasized the importance of </w:t>
      </w:r>
      <w:r w:rsidR="0062738F">
        <w:rPr>
          <w:sz w:val="22"/>
          <w:szCs w:val="22"/>
        </w:rPr>
        <w:t>incorporating</w:t>
      </w:r>
      <w:r w:rsidR="002B5415" w:rsidRPr="00BE498D">
        <w:rPr>
          <w:sz w:val="22"/>
          <w:szCs w:val="22"/>
        </w:rPr>
        <w:t xml:space="preserve"> institutions </w:t>
      </w:r>
      <w:r w:rsidR="0062738F">
        <w:rPr>
          <w:sz w:val="22"/>
          <w:szCs w:val="22"/>
        </w:rPr>
        <w:t xml:space="preserve">into IB research </w:t>
      </w:r>
      <w:r w:rsidR="002B5415" w:rsidRPr="00BE498D">
        <w:rPr>
          <w:sz w:val="22"/>
          <w:szCs w:val="22"/>
        </w:rPr>
        <w:t>so that firms can contribute fully to the creation of wealth and prosperity (Mudambi &amp; Navarra, 2002). However, prior IB research has predominantly considered t</w:t>
      </w:r>
      <w:r w:rsidRPr="00BE498D">
        <w:rPr>
          <w:sz w:val="22"/>
          <w:szCs w:val="22"/>
        </w:rPr>
        <w:t xml:space="preserve">he relationship between regulations and responsiveness as negative, such that enhanced regulations in an industry will reduce the </w:t>
      </w:r>
      <w:r w:rsidR="002B5415" w:rsidRPr="00BE498D">
        <w:rPr>
          <w:sz w:val="22"/>
          <w:szCs w:val="22"/>
        </w:rPr>
        <w:t xml:space="preserve">competitiveness and </w:t>
      </w:r>
      <w:r w:rsidRPr="00BE498D">
        <w:rPr>
          <w:sz w:val="22"/>
          <w:szCs w:val="22"/>
        </w:rPr>
        <w:t>responsiveness of firm</w:t>
      </w:r>
      <w:r w:rsidR="002B5415" w:rsidRPr="00BE498D">
        <w:rPr>
          <w:sz w:val="22"/>
          <w:szCs w:val="22"/>
        </w:rPr>
        <w:t>s</w:t>
      </w:r>
      <w:r w:rsidRPr="00BE498D">
        <w:rPr>
          <w:sz w:val="22"/>
          <w:szCs w:val="22"/>
        </w:rPr>
        <w:t xml:space="preserve"> (see Kostova, Roth, and Dacin, 2008 for a review). In contrast, our results show that </w:t>
      </w:r>
      <w:r w:rsidR="00AB1842">
        <w:rPr>
          <w:sz w:val="22"/>
          <w:szCs w:val="22"/>
        </w:rPr>
        <w:t xml:space="preserve">product safety </w:t>
      </w:r>
      <w:r w:rsidRPr="00BE498D">
        <w:rPr>
          <w:sz w:val="22"/>
          <w:szCs w:val="22"/>
        </w:rPr>
        <w:t xml:space="preserve">regulations that actively engage consumers and make them responsible for arranging a fix in the event of a product recall will lead to firms showing greater responsiveness in a </w:t>
      </w:r>
      <w:r w:rsidRPr="00BE498D">
        <w:rPr>
          <w:sz w:val="22"/>
          <w:szCs w:val="22"/>
        </w:rPr>
        <w:lastRenderedPageBreak/>
        <w:t>product</w:t>
      </w:r>
      <w:r w:rsidR="00502ADE">
        <w:rPr>
          <w:sz w:val="22"/>
          <w:szCs w:val="22"/>
        </w:rPr>
        <w:t>-</w:t>
      </w:r>
      <w:r w:rsidRPr="00BE498D">
        <w:rPr>
          <w:sz w:val="22"/>
          <w:szCs w:val="22"/>
        </w:rPr>
        <w:t xml:space="preserve">harm crisis. </w:t>
      </w:r>
      <w:r w:rsidR="002B5415" w:rsidRPr="00BE498D">
        <w:rPr>
          <w:sz w:val="22"/>
          <w:szCs w:val="22"/>
        </w:rPr>
        <w:t xml:space="preserve">Further, our finding related to higher responsiveness in case of standardized products </w:t>
      </w:r>
      <w:r w:rsidRPr="00BE498D">
        <w:rPr>
          <w:sz w:val="22"/>
          <w:szCs w:val="22"/>
        </w:rPr>
        <w:t xml:space="preserve">demonstrates that greater </w:t>
      </w:r>
      <w:r w:rsidR="00AB1842">
        <w:rPr>
          <w:sz w:val="22"/>
          <w:szCs w:val="22"/>
        </w:rPr>
        <w:t xml:space="preserve">product safety </w:t>
      </w:r>
      <w:r w:rsidRPr="00BE498D">
        <w:rPr>
          <w:sz w:val="22"/>
          <w:szCs w:val="22"/>
        </w:rPr>
        <w:t>regulations in one market can have spillover effects that increase responsiveness in other markets.</w:t>
      </w:r>
      <w:r w:rsidR="002B5415" w:rsidRPr="00BE498D">
        <w:rPr>
          <w:sz w:val="22"/>
          <w:szCs w:val="22"/>
        </w:rPr>
        <w:t xml:space="preserve"> Together, these findings bring some nuance to the role of institutions in international business and point to the need to examine aspects that can benefit from stronger and wide-ranging regulations.</w:t>
      </w:r>
    </w:p>
    <w:p w14:paraId="74A669C6" w14:textId="7B1855E2" w:rsidR="002B5415" w:rsidRPr="00BE498D" w:rsidRDefault="0022441C" w:rsidP="006324E2">
      <w:pPr>
        <w:spacing w:line="480" w:lineRule="auto"/>
        <w:ind w:firstLine="720"/>
        <w:rPr>
          <w:sz w:val="22"/>
          <w:szCs w:val="22"/>
        </w:rPr>
      </w:pPr>
      <w:r w:rsidRPr="00BE498D">
        <w:rPr>
          <w:sz w:val="22"/>
          <w:szCs w:val="22"/>
        </w:rPr>
        <w:t xml:space="preserve">Research in international business has emphasized the </w:t>
      </w:r>
      <w:r w:rsidR="0097728F" w:rsidRPr="00BE498D">
        <w:rPr>
          <w:sz w:val="22"/>
          <w:szCs w:val="22"/>
        </w:rPr>
        <w:t>information</w:t>
      </w:r>
      <w:r w:rsidRPr="00BE498D">
        <w:rPr>
          <w:sz w:val="22"/>
          <w:szCs w:val="22"/>
        </w:rPr>
        <w:t xml:space="preserve"> benefits</w:t>
      </w:r>
      <w:r w:rsidR="0097728F" w:rsidRPr="00BE498D">
        <w:rPr>
          <w:sz w:val="22"/>
          <w:szCs w:val="22"/>
        </w:rPr>
        <w:t xml:space="preserve"> that firms can gain from </w:t>
      </w:r>
      <w:r w:rsidR="00E87C73" w:rsidRPr="00BE498D">
        <w:rPr>
          <w:sz w:val="22"/>
          <w:szCs w:val="22"/>
        </w:rPr>
        <w:t xml:space="preserve">operating in </w:t>
      </w:r>
      <w:r w:rsidR="0097728F" w:rsidRPr="00BE498D">
        <w:rPr>
          <w:sz w:val="22"/>
          <w:szCs w:val="22"/>
        </w:rPr>
        <w:t>different markets (</w:t>
      </w:r>
      <w:r w:rsidR="007C57AA" w:rsidRPr="00BE498D">
        <w:rPr>
          <w:sz w:val="22"/>
          <w:szCs w:val="22"/>
        </w:rPr>
        <w:t>Simonin 2004</w:t>
      </w:r>
      <w:r w:rsidR="0097728F" w:rsidRPr="00BE498D">
        <w:rPr>
          <w:sz w:val="22"/>
          <w:szCs w:val="22"/>
        </w:rPr>
        <w:t xml:space="preserve">). Multinational enterprises </w:t>
      </w:r>
      <w:r w:rsidR="006B3FBD" w:rsidRPr="00BE498D">
        <w:rPr>
          <w:sz w:val="22"/>
          <w:szCs w:val="22"/>
        </w:rPr>
        <w:t>structure their operations in markets around the world so that they can gain explicit and implicit knowledge.</w:t>
      </w:r>
      <w:r w:rsidR="00826484" w:rsidRPr="00BE498D">
        <w:rPr>
          <w:sz w:val="22"/>
          <w:szCs w:val="22"/>
        </w:rPr>
        <w:t xml:space="preserve"> </w:t>
      </w:r>
      <w:r w:rsidR="002B5415" w:rsidRPr="00BE498D">
        <w:rPr>
          <w:sz w:val="22"/>
          <w:szCs w:val="22"/>
        </w:rPr>
        <w:t xml:space="preserve">Our findings demonstrate that the regulatory environment can give the firm valuable information about product flaws and that regulations focused on consumers can enhance the responsiveness of an already connected ecosystem. This finding points to the possibility that some regulatory features, and more broadly, institutional features can provide unintended information benefits to firms. </w:t>
      </w:r>
      <w:r w:rsidR="00826484" w:rsidRPr="00BE498D">
        <w:rPr>
          <w:sz w:val="22"/>
          <w:szCs w:val="22"/>
        </w:rPr>
        <w:t>The context of our study was the auto sector which is an interconnected ecosystem that contains a few keystone players</w:t>
      </w:r>
      <w:r w:rsidRPr="00BE498D">
        <w:rPr>
          <w:sz w:val="22"/>
          <w:szCs w:val="22"/>
        </w:rPr>
        <w:t xml:space="preserve"> (Kim &amp; Mudambi, 2020)</w:t>
      </w:r>
      <w:r w:rsidR="00826484" w:rsidRPr="00BE498D">
        <w:rPr>
          <w:sz w:val="22"/>
          <w:szCs w:val="22"/>
        </w:rPr>
        <w:t>.</w:t>
      </w:r>
      <w:r w:rsidR="006B3FBD" w:rsidRPr="00BE498D">
        <w:rPr>
          <w:sz w:val="22"/>
          <w:szCs w:val="22"/>
        </w:rPr>
        <w:t xml:space="preserve"> </w:t>
      </w:r>
      <w:r w:rsidR="002B5415" w:rsidRPr="00BE498D">
        <w:rPr>
          <w:sz w:val="22"/>
          <w:szCs w:val="22"/>
        </w:rPr>
        <w:t xml:space="preserve">Given this, it is possible that such information benefits are disseminated to the rest of the industry. </w:t>
      </w:r>
      <w:r w:rsidR="00D92A77" w:rsidRPr="00BE498D">
        <w:rPr>
          <w:sz w:val="22"/>
          <w:szCs w:val="22"/>
        </w:rPr>
        <w:t xml:space="preserve">As such, future research can examine these possibilities and study how institutional features and industry characteristics interact to provide informational benefits to firms (or not). </w:t>
      </w:r>
    </w:p>
    <w:p w14:paraId="47E51E73" w14:textId="5FAE71C6" w:rsidR="002B5415" w:rsidRPr="00BE498D" w:rsidRDefault="00D92A77" w:rsidP="006324E2">
      <w:pPr>
        <w:spacing w:line="480" w:lineRule="auto"/>
        <w:ind w:firstLine="720"/>
        <w:rPr>
          <w:sz w:val="22"/>
          <w:szCs w:val="22"/>
        </w:rPr>
      </w:pPr>
      <w:r w:rsidRPr="00BE498D">
        <w:rPr>
          <w:sz w:val="22"/>
          <w:szCs w:val="22"/>
        </w:rPr>
        <w:t xml:space="preserve">Our examination of firm responsiveness in product-harm crisis speaks to increasing calls within IB field to engage with issues of concern to the world, including product safety (Bapuji &amp; Beamish, 2019), public health (Montiel et al., 2022; Park et al., 2022), sustainable development goals (Montiel et al., 2021), and more broadly, grand challenges (Buckley, Doh &amp; </w:t>
      </w:r>
      <w:proofErr w:type="spellStart"/>
      <w:r w:rsidRPr="00BE498D">
        <w:rPr>
          <w:sz w:val="22"/>
          <w:szCs w:val="22"/>
        </w:rPr>
        <w:t>Benischke</w:t>
      </w:r>
      <w:proofErr w:type="spellEnd"/>
      <w:r w:rsidRPr="00BE498D">
        <w:rPr>
          <w:sz w:val="22"/>
          <w:szCs w:val="22"/>
        </w:rPr>
        <w:t xml:space="preserve">, 2017). More broadly, it </w:t>
      </w:r>
      <w:r w:rsidR="004F7EF6" w:rsidRPr="00BE498D">
        <w:rPr>
          <w:sz w:val="22"/>
          <w:szCs w:val="22"/>
        </w:rPr>
        <w:t xml:space="preserve">speaks to calls for </w:t>
      </w:r>
      <w:r w:rsidRPr="00BE498D">
        <w:rPr>
          <w:sz w:val="22"/>
          <w:szCs w:val="22"/>
        </w:rPr>
        <w:t xml:space="preserve">responsible research in </w:t>
      </w:r>
      <w:r w:rsidR="004F7EF6" w:rsidRPr="00BE498D">
        <w:rPr>
          <w:sz w:val="22"/>
          <w:szCs w:val="22"/>
        </w:rPr>
        <w:t xml:space="preserve">management and international business scholarship to aim for societal impact </w:t>
      </w:r>
      <w:r w:rsidRPr="00BE498D">
        <w:rPr>
          <w:sz w:val="22"/>
          <w:szCs w:val="22"/>
        </w:rPr>
        <w:t>(</w:t>
      </w:r>
      <w:r w:rsidR="004F7EF6" w:rsidRPr="00BE498D">
        <w:rPr>
          <w:sz w:val="22"/>
          <w:szCs w:val="22"/>
        </w:rPr>
        <w:t xml:space="preserve">Doh et al., 2023). </w:t>
      </w:r>
    </w:p>
    <w:p w14:paraId="0A610D44" w14:textId="23DDE171" w:rsidR="004F7EF6" w:rsidRPr="00BE498D" w:rsidRDefault="004F7EF6" w:rsidP="006324E2">
      <w:pPr>
        <w:spacing w:line="480" w:lineRule="auto"/>
        <w:rPr>
          <w:b/>
          <w:bCs/>
          <w:sz w:val="22"/>
          <w:szCs w:val="22"/>
        </w:rPr>
      </w:pPr>
      <w:r w:rsidRPr="00BE498D">
        <w:rPr>
          <w:b/>
          <w:bCs/>
          <w:sz w:val="22"/>
          <w:szCs w:val="22"/>
        </w:rPr>
        <w:t xml:space="preserve">Contributions to </w:t>
      </w:r>
      <w:r w:rsidR="006324E2">
        <w:rPr>
          <w:b/>
          <w:bCs/>
          <w:sz w:val="22"/>
          <w:szCs w:val="22"/>
        </w:rPr>
        <w:t>r</w:t>
      </w:r>
      <w:r w:rsidRPr="00BE498D">
        <w:rPr>
          <w:b/>
          <w:bCs/>
          <w:sz w:val="22"/>
          <w:szCs w:val="22"/>
        </w:rPr>
        <w:t xml:space="preserve">esearch on </w:t>
      </w:r>
      <w:r w:rsidR="006324E2">
        <w:rPr>
          <w:b/>
          <w:bCs/>
          <w:sz w:val="22"/>
          <w:szCs w:val="22"/>
        </w:rPr>
        <w:t>p</w:t>
      </w:r>
      <w:r w:rsidRPr="00BE498D">
        <w:rPr>
          <w:b/>
          <w:bCs/>
          <w:sz w:val="22"/>
          <w:szCs w:val="22"/>
        </w:rPr>
        <w:t xml:space="preserve">roduct-harm </w:t>
      </w:r>
      <w:r w:rsidR="006324E2">
        <w:rPr>
          <w:b/>
          <w:bCs/>
          <w:sz w:val="22"/>
          <w:szCs w:val="22"/>
        </w:rPr>
        <w:t>c</w:t>
      </w:r>
      <w:r w:rsidRPr="00BE498D">
        <w:rPr>
          <w:b/>
          <w:bCs/>
          <w:sz w:val="22"/>
          <w:szCs w:val="22"/>
        </w:rPr>
        <w:t>ris</w:t>
      </w:r>
      <w:r w:rsidR="006324E2">
        <w:rPr>
          <w:b/>
          <w:bCs/>
          <w:sz w:val="22"/>
          <w:szCs w:val="22"/>
        </w:rPr>
        <w:t>e</w:t>
      </w:r>
      <w:r w:rsidRPr="00BE498D">
        <w:rPr>
          <w:b/>
          <w:bCs/>
          <w:sz w:val="22"/>
          <w:szCs w:val="22"/>
        </w:rPr>
        <w:t>s</w:t>
      </w:r>
    </w:p>
    <w:p w14:paraId="73B97F0B" w14:textId="77777777" w:rsidR="00A16575" w:rsidRPr="00BE498D" w:rsidRDefault="004F7EF6" w:rsidP="006324E2">
      <w:pPr>
        <w:spacing w:line="480" w:lineRule="auto"/>
        <w:rPr>
          <w:sz w:val="22"/>
          <w:szCs w:val="22"/>
        </w:rPr>
      </w:pPr>
      <w:r w:rsidRPr="00BE498D">
        <w:rPr>
          <w:sz w:val="22"/>
          <w:szCs w:val="22"/>
        </w:rPr>
        <w:tab/>
      </w:r>
      <w:r w:rsidR="00A16575" w:rsidRPr="00BE498D">
        <w:rPr>
          <w:sz w:val="22"/>
          <w:szCs w:val="22"/>
        </w:rPr>
        <w:t>Product safety is a vibrant area of research, reflected in the r</w:t>
      </w:r>
      <w:r w:rsidRPr="00BE498D">
        <w:rPr>
          <w:sz w:val="22"/>
          <w:szCs w:val="22"/>
        </w:rPr>
        <w:t>esearch on product-harm crisis in marketing (</w:t>
      </w:r>
      <w:proofErr w:type="spellStart"/>
      <w:r w:rsidRPr="00BE498D">
        <w:rPr>
          <w:sz w:val="22"/>
          <w:szCs w:val="22"/>
        </w:rPr>
        <w:t>Cleeren</w:t>
      </w:r>
      <w:proofErr w:type="spellEnd"/>
      <w:r w:rsidRPr="00BE498D">
        <w:rPr>
          <w:sz w:val="22"/>
          <w:szCs w:val="22"/>
        </w:rPr>
        <w:t xml:space="preserve">, </w:t>
      </w:r>
      <w:proofErr w:type="spellStart"/>
      <w:r w:rsidRPr="00BE498D">
        <w:rPr>
          <w:sz w:val="22"/>
          <w:szCs w:val="22"/>
        </w:rPr>
        <w:t>Dekimpe</w:t>
      </w:r>
      <w:proofErr w:type="spellEnd"/>
      <w:r w:rsidRPr="00BE498D">
        <w:rPr>
          <w:sz w:val="22"/>
          <w:szCs w:val="22"/>
        </w:rPr>
        <w:t xml:space="preserve"> &amp; Van </w:t>
      </w:r>
      <w:proofErr w:type="spellStart"/>
      <w:r w:rsidRPr="00BE498D">
        <w:rPr>
          <w:sz w:val="22"/>
          <w:szCs w:val="22"/>
        </w:rPr>
        <w:t>Heerde</w:t>
      </w:r>
      <w:proofErr w:type="spellEnd"/>
      <w:r w:rsidRPr="00BE498D">
        <w:rPr>
          <w:sz w:val="22"/>
          <w:szCs w:val="22"/>
        </w:rPr>
        <w:t xml:space="preserve">, 2017) and </w:t>
      </w:r>
      <w:r w:rsidR="00A16575" w:rsidRPr="00BE498D">
        <w:rPr>
          <w:sz w:val="22"/>
          <w:szCs w:val="22"/>
        </w:rPr>
        <w:t xml:space="preserve">the research on </w:t>
      </w:r>
      <w:r w:rsidRPr="00BE498D">
        <w:rPr>
          <w:sz w:val="22"/>
          <w:szCs w:val="22"/>
        </w:rPr>
        <w:t xml:space="preserve">firm responses </w:t>
      </w:r>
      <w:r w:rsidR="00A16575" w:rsidRPr="00BE498D">
        <w:rPr>
          <w:sz w:val="22"/>
          <w:szCs w:val="22"/>
        </w:rPr>
        <w:t xml:space="preserve">to such crises via product recalls, studied in </w:t>
      </w:r>
      <w:r w:rsidRPr="00BE498D">
        <w:rPr>
          <w:sz w:val="22"/>
          <w:szCs w:val="22"/>
        </w:rPr>
        <w:t xml:space="preserve">operations </w:t>
      </w:r>
      <w:r w:rsidR="00A16575" w:rsidRPr="00BE498D">
        <w:rPr>
          <w:sz w:val="22"/>
          <w:szCs w:val="22"/>
        </w:rPr>
        <w:t xml:space="preserve">research </w:t>
      </w:r>
      <w:r w:rsidRPr="00BE498D">
        <w:rPr>
          <w:sz w:val="22"/>
          <w:szCs w:val="22"/>
        </w:rPr>
        <w:t>(</w:t>
      </w:r>
      <w:proofErr w:type="spellStart"/>
      <w:r w:rsidRPr="00BE498D">
        <w:rPr>
          <w:sz w:val="22"/>
          <w:szCs w:val="22"/>
        </w:rPr>
        <w:t>Wowak</w:t>
      </w:r>
      <w:proofErr w:type="spellEnd"/>
      <w:r w:rsidRPr="00BE498D">
        <w:rPr>
          <w:sz w:val="22"/>
          <w:szCs w:val="22"/>
        </w:rPr>
        <w:t xml:space="preserve"> &amp; Boone, 2015), </w:t>
      </w:r>
      <w:r w:rsidR="00A16575" w:rsidRPr="00BE498D">
        <w:rPr>
          <w:sz w:val="22"/>
          <w:szCs w:val="22"/>
        </w:rPr>
        <w:t xml:space="preserve">and management more broadly </w:t>
      </w:r>
      <w:r w:rsidR="00A16575" w:rsidRPr="00BE498D">
        <w:rPr>
          <w:sz w:val="22"/>
          <w:szCs w:val="22"/>
        </w:rPr>
        <w:lastRenderedPageBreak/>
        <w:t>(Li et al., 2022). This research has revealed many useful insights about the antecedents and consequences of product recalls to stakeholders across various stages of recall, before, during and after (please see Li et al., 2022 for a review).</w:t>
      </w:r>
    </w:p>
    <w:p w14:paraId="3F562D4B" w14:textId="2581832A" w:rsidR="006E3ED8" w:rsidRPr="00BE498D" w:rsidRDefault="00A16575" w:rsidP="006324E2">
      <w:pPr>
        <w:spacing w:line="480" w:lineRule="auto"/>
        <w:rPr>
          <w:sz w:val="22"/>
          <w:szCs w:val="22"/>
        </w:rPr>
      </w:pPr>
      <w:r w:rsidRPr="00BE498D">
        <w:rPr>
          <w:sz w:val="22"/>
          <w:szCs w:val="22"/>
        </w:rPr>
        <w:tab/>
        <w:t>Firm responsiveness, often studied as time to recall has been an important area of work in this research stream (e.g., Eilert et al., 2022; Hora et al., 2011; Muralidharan et al., 2022). These studies have typically examined firm-level factors (e.g., board characteristics) influencing firm responsiveness, but have rarely examined the influence of institutions</w:t>
      </w:r>
      <w:r w:rsidR="006E3ED8" w:rsidRPr="00BE498D">
        <w:rPr>
          <w:sz w:val="22"/>
          <w:szCs w:val="22"/>
        </w:rPr>
        <w:t xml:space="preserve"> (Li et al., 2022)</w:t>
      </w:r>
      <w:r w:rsidRPr="00BE498D">
        <w:rPr>
          <w:sz w:val="22"/>
          <w:szCs w:val="22"/>
        </w:rPr>
        <w:t xml:space="preserve">. By examining the role of </w:t>
      </w:r>
      <w:r w:rsidR="00AB1842">
        <w:rPr>
          <w:sz w:val="22"/>
          <w:szCs w:val="22"/>
        </w:rPr>
        <w:t xml:space="preserve">product safety </w:t>
      </w:r>
      <w:r w:rsidRPr="00BE498D">
        <w:rPr>
          <w:sz w:val="22"/>
          <w:szCs w:val="22"/>
        </w:rPr>
        <w:t xml:space="preserve">regulations on firm responsiveness, </w:t>
      </w:r>
      <w:r w:rsidR="006E3ED8" w:rsidRPr="00BE498D">
        <w:rPr>
          <w:sz w:val="22"/>
          <w:szCs w:val="22"/>
        </w:rPr>
        <w:t>our study extends this stream of work. Further, by examining our hypotheses in four different markets, we add in a small way to the rigor of this research, which is an important consideration given the substantial implications the research findings on this topic hold.</w:t>
      </w:r>
    </w:p>
    <w:p w14:paraId="679067F0" w14:textId="501E3C3C" w:rsidR="004F7EF6" w:rsidRPr="00BE498D" w:rsidRDefault="006E3ED8" w:rsidP="00BE498D">
      <w:pPr>
        <w:spacing w:line="480" w:lineRule="auto"/>
        <w:rPr>
          <w:b/>
          <w:bCs/>
          <w:sz w:val="22"/>
          <w:szCs w:val="22"/>
        </w:rPr>
      </w:pPr>
      <w:r w:rsidRPr="00BE498D">
        <w:rPr>
          <w:b/>
          <w:bCs/>
          <w:sz w:val="22"/>
          <w:szCs w:val="22"/>
        </w:rPr>
        <w:t xml:space="preserve">Contributions to </w:t>
      </w:r>
      <w:r w:rsidR="006324E2">
        <w:rPr>
          <w:b/>
          <w:bCs/>
          <w:sz w:val="22"/>
          <w:szCs w:val="22"/>
        </w:rPr>
        <w:t>IB</w:t>
      </w:r>
      <w:r w:rsidRPr="00BE498D">
        <w:rPr>
          <w:b/>
          <w:bCs/>
          <w:sz w:val="22"/>
          <w:szCs w:val="22"/>
        </w:rPr>
        <w:t xml:space="preserve"> </w:t>
      </w:r>
      <w:r w:rsidR="006324E2">
        <w:rPr>
          <w:b/>
          <w:bCs/>
          <w:sz w:val="22"/>
          <w:szCs w:val="22"/>
        </w:rPr>
        <w:t>p</w:t>
      </w:r>
      <w:r w:rsidRPr="00BE498D">
        <w:rPr>
          <w:b/>
          <w:bCs/>
          <w:sz w:val="22"/>
          <w:szCs w:val="22"/>
        </w:rPr>
        <w:t xml:space="preserve">olicy </w:t>
      </w:r>
      <w:r w:rsidR="00A16575" w:rsidRPr="00BE498D">
        <w:rPr>
          <w:b/>
          <w:bCs/>
          <w:sz w:val="22"/>
          <w:szCs w:val="22"/>
        </w:rPr>
        <w:t xml:space="preserve"> </w:t>
      </w:r>
    </w:p>
    <w:p w14:paraId="0975AC24" w14:textId="1C18BA9D" w:rsidR="007F3EC8" w:rsidRPr="00BE498D" w:rsidRDefault="002A7101" w:rsidP="00BE498D">
      <w:pPr>
        <w:spacing w:line="480" w:lineRule="auto"/>
        <w:ind w:firstLine="720"/>
        <w:rPr>
          <w:sz w:val="22"/>
          <w:szCs w:val="22"/>
        </w:rPr>
      </w:pPr>
      <w:r w:rsidRPr="00BE498D">
        <w:rPr>
          <w:sz w:val="22"/>
          <w:szCs w:val="22"/>
        </w:rPr>
        <w:t>Our findings offer implications to IB policy at the level of firms and regulators. At the firm level, recognizing that markets in which</w:t>
      </w:r>
      <w:r w:rsidR="00AB1842">
        <w:rPr>
          <w:sz w:val="22"/>
          <w:szCs w:val="22"/>
        </w:rPr>
        <w:t xml:space="preserve"> product safety</w:t>
      </w:r>
      <w:r w:rsidRPr="00BE498D">
        <w:rPr>
          <w:sz w:val="22"/>
          <w:szCs w:val="22"/>
        </w:rPr>
        <w:t xml:space="preserve"> regulations </w:t>
      </w:r>
      <w:r w:rsidR="00E43239">
        <w:rPr>
          <w:sz w:val="22"/>
          <w:szCs w:val="22"/>
        </w:rPr>
        <w:t>include consumer liability</w:t>
      </w:r>
      <w:r w:rsidRPr="00BE498D">
        <w:rPr>
          <w:sz w:val="22"/>
          <w:szCs w:val="22"/>
        </w:rPr>
        <w:t xml:space="preserve"> can be a potential source of new information and greater firm responsiveness related to product safety issues, firms can design their policies to leverage the benefits of such markets. For example,</w:t>
      </w:r>
      <w:r w:rsidR="0022441C" w:rsidRPr="00BE498D">
        <w:rPr>
          <w:sz w:val="22"/>
          <w:szCs w:val="22"/>
        </w:rPr>
        <w:t xml:space="preserve"> MNEs </w:t>
      </w:r>
      <w:r w:rsidRPr="00BE498D">
        <w:rPr>
          <w:sz w:val="22"/>
          <w:szCs w:val="22"/>
        </w:rPr>
        <w:t>c</w:t>
      </w:r>
      <w:r w:rsidR="007F3EC8" w:rsidRPr="00BE498D">
        <w:rPr>
          <w:sz w:val="22"/>
          <w:szCs w:val="22"/>
        </w:rPr>
        <w:t xml:space="preserve">ould look to markets </w:t>
      </w:r>
      <w:r w:rsidR="007800E7">
        <w:rPr>
          <w:sz w:val="22"/>
          <w:szCs w:val="22"/>
        </w:rPr>
        <w:t xml:space="preserve">that </w:t>
      </w:r>
      <w:r w:rsidR="00E43239">
        <w:rPr>
          <w:sz w:val="22"/>
          <w:szCs w:val="22"/>
        </w:rPr>
        <w:t>include consumer liability</w:t>
      </w:r>
      <w:r w:rsidR="007800E7">
        <w:rPr>
          <w:sz w:val="22"/>
          <w:szCs w:val="22"/>
        </w:rPr>
        <w:t xml:space="preserve"> </w:t>
      </w:r>
      <w:r w:rsidR="007F3EC8" w:rsidRPr="00BE498D">
        <w:rPr>
          <w:sz w:val="22"/>
          <w:szCs w:val="22"/>
        </w:rPr>
        <w:t xml:space="preserve">as </w:t>
      </w:r>
      <w:r w:rsidR="00DA1444">
        <w:rPr>
          <w:sz w:val="22"/>
          <w:szCs w:val="22"/>
        </w:rPr>
        <w:t>markets where the products should be released first</w:t>
      </w:r>
      <w:r w:rsidR="007F3EC8" w:rsidRPr="00BE498D">
        <w:rPr>
          <w:sz w:val="22"/>
          <w:szCs w:val="22"/>
        </w:rPr>
        <w:t>. These markets engage consumers</w:t>
      </w:r>
      <w:r w:rsidR="00325171" w:rsidRPr="00BE498D">
        <w:rPr>
          <w:sz w:val="22"/>
          <w:szCs w:val="22"/>
        </w:rPr>
        <w:t xml:space="preserve"> and </w:t>
      </w:r>
      <w:r w:rsidR="007F3EC8" w:rsidRPr="00BE498D">
        <w:rPr>
          <w:sz w:val="22"/>
          <w:szCs w:val="22"/>
        </w:rPr>
        <w:t>compel them to take a more active role</w:t>
      </w:r>
      <w:r w:rsidR="00847F64" w:rsidRPr="00BE498D">
        <w:rPr>
          <w:sz w:val="22"/>
          <w:szCs w:val="22"/>
        </w:rPr>
        <w:t xml:space="preserve"> when products contain flaws</w:t>
      </w:r>
      <w:r w:rsidR="007F5D83" w:rsidRPr="00BE498D">
        <w:rPr>
          <w:sz w:val="22"/>
          <w:szCs w:val="22"/>
        </w:rPr>
        <w:t>, which helps o</w:t>
      </w:r>
      <w:r w:rsidR="007F3EC8" w:rsidRPr="00BE498D">
        <w:rPr>
          <w:sz w:val="22"/>
          <w:szCs w:val="22"/>
        </w:rPr>
        <w:t xml:space="preserve">rganizations </w:t>
      </w:r>
      <w:r w:rsidR="007F5D83" w:rsidRPr="00BE498D">
        <w:rPr>
          <w:sz w:val="22"/>
          <w:szCs w:val="22"/>
        </w:rPr>
        <w:t xml:space="preserve">to </w:t>
      </w:r>
      <w:r w:rsidR="007F3EC8" w:rsidRPr="00BE498D">
        <w:rPr>
          <w:sz w:val="22"/>
          <w:szCs w:val="22"/>
        </w:rPr>
        <w:t xml:space="preserve">identify </w:t>
      </w:r>
      <w:r w:rsidR="007F5D83" w:rsidRPr="00BE498D">
        <w:rPr>
          <w:sz w:val="22"/>
          <w:szCs w:val="22"/>
        </w:rPr>
        <w:t>product errors</w:t>
      </w:r>
      <w:r w:rsidR="007F3EC8" w:rsidRPr="00BE498D">
        <w:rPr>
          <w:sz w:val="22"/>
          <w:szCs w:val="22"/>
        </w:rPr>
        <w:t xml:space="preserve"> and improve upon the product before it is released into larger and/or more profitable markets.</w:t>
      </w:r>
      <w:r w:rsidR="00DA1444">
        <w:rPr>
          <w:sz w:val="22"/>
          <w:szCs w:val="22"/>
        </w:rPr>
        <w:t xml:space="preserve"> When a product recall occurs then the negative impact on equity and reputation would be compounded by the size and severity of the recall (Rhee and Haunschild, 2006). If firms release new products</w:t>
      </w:r>
      <w:r w:rsidR="004B7237">
        <w:rPr>
          <w:sz w:val="22"/>
          <w:szCs w:val="22"/>
        </w:rPr>
        <w:t xml:space="preserve"> in markets where consumers are liable th</w:t>
      </w:r>
      <w:r w:rsidR="00AF5A84">
        <w:rPr>
          <w:sz w:val="22"/>
          <w:szCs w:val="22"/>
        </w:rPr>
        <w:t>e</w:t>
      </w:r>
      <w:r w:rsidR="004B7237">
        <w:rPr>
          <w:sz w:val="22"/>
          <w:szCs w:val="22"/>
        </w:rPr>
        <w:t xml:space="preserve">n the firm will be more likely to identify the errors early than if it was released into a market were the regulations focused on firms. Receiving information quickly would potentially limit the size/ severity of the recall and limit damage to the equity as well as the reputation of the firm. </w:t>
      </w:r>
      <w:r w:rsidR="00DA1444">
        <w:rPr>
          <w:sz w:val="22"/>
          <w:szCs w:val="22"/>
        </w:rPr>
        <w:t xml:space="preserve"> </w:t>
      </w:r>
    </w:p>
    <w:p w14:paraId="203E5023" w14:textId="1690A41F" w:rsidR="004E6DEF" w:rsidRPr="00BE498D" w:rsidRDefault="007F3EC8" w:rsidP="006324E2">
      <w:pPr>
        <w:spacing w:line="480" w:lineRule="auto"/>
        <w:ind w:firstLine="720"/>
        <w:rPr>
          <w:sz w:val="22"/>
          <w:szCs w:val="22"/>
        </w:rPr>
      </w:pPr>
      <w:r w:rsidRPr="00BE498D">
        <w:rPr>
          <w:sz w:val="22"/>
          <w:szCs w:val="22"/>
        </w:rPr>
        <w:t xml:space="preserve">Another </w:t>
      </w:r>
      <w:r w:rsidR="002A7101" w:rsidRPr="00BE498D">
        <w:rPr>
          <w:sz w:val="22"/>
          <w:szCs w:val="22"/>
        </w:rPr>
        <w:t xml:space="preserve">policy </w:t>
      </w:r>
      <w:r w:rsidRPr="00BE498D">
        <w:rPr>
          <w:sz w:val="22"/>
          <w:szCs w:val="22"/>
        </w:rPr>
        <w:t xml:space="preserve">implication for international managers </w:t>
      </w:r>
      <w:r w:rsidR="00847F64" w:rsidRPr="00BE498D">
        <w:rPr>
          <w:sz w:val="22"/>
          <w:szCs w:val="22"/>
        </w:rPr>
        <w:t>is</w:t>
      </w:r>
      <w:r w:rsidRPr="00BE498D">
        <w:rPr>
          <w:sz w:val="22"/>
          <w:szCs w:val="22"/>
        </w:rPr>
        <w:t xml:space="preserve"> the insight related to standardization and regulatory focus. New products that are not released in a timely manner in the most lucrative markets </w:t>
      </w:r>
      <w:r w:rsidRPr="00BE498D">
        <w:rPr>
          <w:sz w:val="22"/>
          <w:szCs w:val="22"/>
        </w:rPr>
        <w:lastRenderedPageBreak/>
        <w:t xml:space="preserve">miss </w:t>
      </w:r>
      <w:r w:rsidR="004E6DEF" w:rsidRPr="00BE498D">
        <w:rPr>
          <w:sz w:val="22"/>
          <w:szCs w:val="22"/>
        </w:rPr>
        <w:t xml:space="preserve">the benefits that accrue from a first mover advantage. </w:t>
      </w:r>
      <w:r w:rsidR="002A7101" w:rsidRPr="00BE498D">
        <w:rPr>
          <w:sz w:val="22"/>
          <w:szCs w:val="22"/>
        </w:rPr>
        <w:t>Therefore, o</w:t>
      </w:r>
      <w:r w:rsidR="004E6DEF" w:rsidRPr="00BE498D">
        <w:rPr>
          <w:sz w:val="22"/>
          <w:szCs w:val="22"/>
        </w:rPr>
        <w:t xml:space="preserve">rganizations may not have the luxury of releasing products in one market and waiting for feedback before </w:t>
      </w:r>
      <w:r w:rsidR="002A7101" w:rsidRPr="00BE498D">
        <w:rPr>
          <w:sz w:val="22"/>
          <w:szCs w:val="22"/>
        </w:rPr>
        <w:t xml:space="preserve">they </w:t>
      </w:r>
      <w:r w:rsidR="004E6DEF" w:rsidRPr="00BE498D">
        <w:rPr>
          <w:sz w:val="22"/>
          <w:szCs w:val="22"/>
        </w:rPr>
        <w:t xml:space="preserve">release </w:t>
      </w:r>
      <w:r w:rsidR="002A7101" w:rsidRPr="00BE498D">
        <w:rPr>
          <w:sz w:val="22"/>
          <w:szCs w:val="22"/>
        </w:rPr>
        <w:t xml:space="preserve">them </w:t>
      </w:r>
      <w:r w:rsidR="004E6DEF" w:rsidRPr="00BE498D">
        <w:rPr>
          <w:sz w:val="22"/>
          <w:szCs w:val="22"/>
        </w:rPr>
        <w:t xml:space="preserve">into another market. In this case, </w:t>
      </w:r>
      <w:r w:rsidR="002A7101" w:rsidRPr="00BE498D">
        <w:rPr>
          <w:sz w:val="22"/>
          <w:szCs w:val="22"/>
        </w:rPr>
        <w:t xml:space="preserve">MNEs can standardize the product and </w:t>
      </w:r>
      <w:r w:rsidR="004E6DEF" w:rsidRPr="00BE498D">
        <w:rPr>
          <w:sz w:val="22"/>
          <w:szCs w:val="22"/>
        </w:rPr>
        <w:t>release</w:t>
      </w:r>
      <w:r w:rsidR="002A7101" w:rsidRPr="00BE498D">
        <w:rPr>
          <w:sz w:val="22"/>
          <w:szCs w:val="22"/>
        </w:rPr>
        <w:t xml:space="preserve"> it</w:t>
      </w:r>
      <w:r w:rsidR="004E6DEF" w:rsidRPr="00BE498D">
        <w:rPr>
          <w:sz w:val="22"/>
          <w:szCs w:val="22"/>
        </w:rPr>
        <w:t xml:space="preserve"> into multiple markets</w:t>
      </w:r>
      <w:r w:rsidR="002A7101" w:rsidRPr="00BE498D">
        <w:rPr>
          <w:sz w:val="22"/>
          <w:szCs w:val="22"/>
        </w:rPr>
        <w:t xml:space="preserve">, including in at least one market where </w:t>
      </w:r>
      <w:r w:rsidR="00AB1842">
        <w:rPr>
          <w:sz w:val="22"/>
          <w:szCs w:val="22"/>
        </w:rPr>
        <w:t xml:space="preserve">consumer liability is </w:t>
      </w:r>
      <w:r w:rsidR="00E43239">
        <w:rPr>
          <w:sz w:val="22"/>
          <w:szCs w:val="22"/>
        </w:rPr>
        <w:t>included</w:t>
      </w:r>
      <w:r w:rsidR="002A7101" w:rsidRPr="00BE498D">
        <w:rPr>
          <w:sz w:val="22"/>
          <w:szCs w:val="22"/>
        </w:rPr>
        <w:t xml:space="preserve"> so that MNEs can </w:t>
      </w:r>
      <w:r w:rsidR="004E6DEF" w:rsidRPr="00BE498D">
        <w:rPr>
          <w:sz w:val="22"/>
          <w:szCs w:val="22"/>
        </w:rPr>
        <w:t xml:space="preserve">take advantage of the feedback given by </w:t>
      </w:r>
      <w:r w:rsidR="002A7101" w:rsidRPr="00BE498D">
        <w:rPr>
          <w:sz w:val="22"/>
          <w:szCs w:val="22"/>
        </w:rPr>
        <w:t xml:space="preserve">those </w:t>
      </w:r>
      <w:r w:rsidR="004E6DEF" w:rsidRPr="00BE498D">
        <w:rPr>
          <w:sz w:val="22"/>
          <w:szCs w:val="22"/>
        </w:rPr>
        <w:t>markets</w:t>
      </w:r>
      <w:r w:rsidR="002A7101" w:rsidRPr="00BE498D">
        <w:rPr>
          <w:sz w:val="22"/>
          <w:szCs w:val="22"/>
        </w:rPr>
        <w:t>.</w:t>
      </w:r>
      <w:r w:rsidR="004E6DEF" w:rsidRPr="00BE498D">
        <w:rPr>
          <w:sz w:val="22"/>
          <w:szCs w:val="22"/>
        </w:rPr>
        <w:t xml:space="preserve"> For example, releasing a standardized new product simultaneously in the U.S and Australia would not give the same expedited product feedback as the organization would receive if the product was released into the U.S and the U.K. The U.K </w:t>
      </w:r>
      <w:r w:rsidR="007800E7">
        <w:rPr>
          <w:sz w:val="22"/>
          <w:szCs w:val="22"/>
        </w:rPr>
        <w:t>makes consumers liab</w:t>
      </w:r>
      <w:r w:rsidR="00E43239">
        <w:rPr>
          <w:sz w:val="22"/>
          <w:szCs w:val="22"/>
        </w:rPr>
        <w:t>le</w:t>
      </w:r>
      <w:r w:rsidR="007800E7">
        <w:rPr>
          <w:sz w:val="22"/>
          <w:szCs w:val="22"/>
        </w:rPr>
        <w:t xml:space="preserve"> for correcting the error</w:t>
      </w:r>
      <w:r w:rsidR="002A7101" w:rsidRPr="00BE498D">
        <w:rPr>
          <w:sz w:val="22"/>
          <w:szCs w:val="22"/>
        </w:rPr>
        <w:t>,</w:t>
      </w:r>
      <w:r w:rsidR="004E6DEF" w:rsidRPr="00BE498D">
        <w:rPr>
          <w:sz w:val="22"/>
          <w:szCs w:val="22"/>
        </w:rPr>
        <w:t xml:space="preserve"> which gives valuable product feedback regarding flaws that can be used to improve products that are simultaneously available in the U.S marketplace. </w:t>
      </w:r>
    </w:p>
    <w:p w14:paraId="50B28875" w14:textId="2F838C8C" w:rsidR="00407FF9" w:rsidRPr="00BE498D" w:rsidRDefault="002A7101" w:rsidP="006324E2">
      <w:pPr>
        <w:spacing w:line="480" w:lineRule="auto"/>
        <w:ind w:firstLine="720"/>
        <w:rPr>
          <w:sz w:val="22"/>
          <w:szCs w:val="22"/>
        </w:rPr>
      </w:pPr>
      <w:r w:rsidRPr="00BE498D">
        <w:rPr>
          <w:sz w:val="22"/>
          <w:szCs w:val="22"/>
        </w:rPr>
        <w:t>For regulators</w:t>
      </w:r>
      <w:r w:rsidR="00067565">
        <w:rPr>
          <w:sz w:val="22"/>
          <w:szCs w:val="22"/>
        </w:rPr>
        <w:t xml:space="preserve"> and policy makers</w:t>
      </w:r>
      <w:r w:rsidRPr="00BE498D">
        <w:rPr>
          <w:sz w:val="22"/>
          <w:szCs w:val="22"/>
        </w:rPr>
        <w:t xml:space="preserve">, our study </w:t>
      </w:r>
      <w:r w:rsidR="00BD3430" w:rsidRPr="00BE498D">
        <w:rPr>
          <w:sz w:val="22"/>
          <w:szCs w:val="22"/>
        </w:rPr>
        <w:t>demonstrate</w:t>
      </w:r>
      <w:r w:rsidRPr="00BE498D">
        <w:rPr>
          <w:sz w:val="22"/>
          <w:szCs w:val="22"/>
        </w:rPr>
        <w:t>d</w:t>
      </w:r>
      <w:r w:rsidR="00BD3430" w:rsidRPr="00BE498D">
        <w:rPr>
          <w:sz w:val="22"/>
          <w:szCs w:val="22"/>
        </w:rPr>
        <w:t xml:space="preserve"> that by expanding regulations and </w:t>
      </w:r>
      <w:r w:rsidR="007800E7">
        <w:rPr>
          <w:sz w:val="22"/>
          <w:szCs w:val="22"/>
        </w:rPr>
        <w:t>making consumers liable for repairs</w:t>
      </w:r>
      <w:r w:rsidR="00BD3430" w:rsidRPr="00BE498D">
        <w:rPr>
          <w:sz w:val="22"/>
          <w:szCs w:val="22"/>
        </w:rPr>
        <w:t xml:space="preserve">, firms will become more responsive with their product recalls. The purpose of product safety laws and their enforcement is to protect consumers, which, in the process, imposes costs on the producers. </w:t>
      </w:r>
      <w:r w:rsidR="00407FF9" w:rsidRPr="00BE498D">
        <w:rPr>
          <w:sz w:val="22"/>
          <w:szCs w:val="22"/>
        </w:rPr>
        <w:t xml:space="preserve">To achieve this, agencies responsible for product safety (e.g., </w:t>
      </w:r>
      <w:r w:rsidR="00BD3430" w:rsidRPr="00BE498D">
        <w:rPr>
          <w:sz w:val="22"/>
          <w:szCs w:val="22"/>
        </w:rPr>
        <w:t>the Consumer Product Safety Commission (CPSC)</w:t>
      </w:r>
      <w:r w:rsidR="00407FF9" w:rsidRPr="00BE498D">
        <w:rPr>
          <w:sz w:val="22"/>
          <w:szCs w:val="22"/>
        </w:rPr>
        <w:t>)</w:t>
      </w:r>
      <w:r w:rsidR="00BD3430" w:rsidRPr="00BE498D">
        <w:rPr>
          <w:sz w:val="22"/>
          <w:szCs w:val="22"/>
        </w:rPr>
        <w:t xml:space="preserve"> </w:t>
      </w:r>
      <w:r w:rsidR="00407FF9" w:rsidRPr="00BE498D">
        <w:rPr>
          <w:sz w:val="22"/>
          <w:szCs w:val="22"/>
        </w:rPr>
        <w:t xml:space="preserve">collaborate and partner with their counterparts in other countries. Given our study’s findings, product safety agencies can partner with agencies operating in countries that have a focus on consumers to benefit from the insights from those contexts. Similarly, European Commission can pay closer attention to information from its member countries that target consumers for product safety. More generally, our findings underscore the benefits of including consumers in the ambit of </w:t>
      </w:r>
      <w:r w:rsidR="00AB1842">
        <w:rPr>
          <w:sz w:val="22"/>
          <w:szCs w:val="22"/>
        </w:rPr>
        <w:t xml:space="preserve">product safety </w:t>
      </w:r>
      <w:r w:rsidR="00407FF9" w:rsidRPr="00BE498D">
        <w:rPr>
          <w:sz w:val="22"/>
          <w:szCs w:val="22"/>
        </w:rPr>
        <w:t xml:space="preserve">regulations related to consumer product safety, which can be attempted for similar product, i.e., high-priced products that are purchased infrequently </w:t>
      </w:r>
      <w:r w:rsidR="006324E2" w:rsidRPr="00BE498D">
        <w:rPr>
          <w:sz w:val="22"/>
          <w:szCs w:val="22"/>
        </w:rPr>
        <w:t>but</w:t>
      </w:r>
      <w:r w:rsidR="00407FF9" w:rsidRPr="00BE498D">
        <w:rPr>
          <w:sz w:val="22"/>
          <w:szCs w:val="22"/>
        </w:rPr>
        <w:t xml:space="preserve"> used frequently</w:t>
      </w:r>
      <w:r w:rsidR="006324E2" w:rsidRPr="00BE498D">
        <w:rPr>
          <w:sz w:val="22"/>
          <w:szCs w:val="22"/>
        </w:rPr>
        <w:t>.</w:t>
      </w:r>
      <w:r w:rsidR="00B00883">
        <w:rPr>
          <w:sz w:val="22"/>
          <w:szCs w:val="22"/>
        </w:rPr>
        <w:t xml:space="preserve"> The present study illustrated the greater responsiveness that can result when consumers are liable for having their vehicles repairs. Penalizing consumers by preventing them from using their legally purchased products is a significant punishment for consumers and may motivate them act. However, from a policy creation perspective, policy makers may be hesitant to impose such a cost on their constituents</w:t>
      </w:r>
      <w:r w:rsidR="000521BA">
        <w:rPr>
          <w:sz w:val="22"/>
          <w:szCs w:val="22"/>
        </w:rPr>
        <w:t xml:space="preserve"> even though it would benefit the collective. We return to </w:t>
      </w:r>
      <w:r w:rsidR="00B517F9">
        <w:rPr>
          <w:sz w:val="22"/>
          <w:szCs w:val="22"/>
        </w:rPr>
        <w:t xml:space="preserve">the </w:t>
      </w:r>
      <w:r w:rsidR="000521BA">
        <w:rPr>
          <w:sz w:val="22"/>
          <w:szCs w:val="22"/>
        </w:rPr>
        <w:t>earlier debate of individual freedoms and collective responsibility.</w:t>
      </w:r>
      <w:r w:rsidR="00B517F9">
        <w:rPr>
          <w:sz w:val="22"/>
          <w:szCs w:val="22"/>
        </w:rPr>
        <w:t xml:space="preserve"> Some markets view themselves as part of a collective and framing consumer </w:t>
      </w:r>
      <w:r w:rsidR="00B517F9">
        <w:rPr>
          <w:sz w:val="22"/>
          <w:szCs w:val="22"/>
        </w:rPr>
        <w:lastRenderedPageBreak/>
        <w:t xml:space="preserve">liability for product safety may not be a difficult sell. However, in markets that have higher levels of individualism a more nuanced approach may be necessary. Consumer liability in markets high in individualistic tendencies may be more receptive to a gradient form of punishment (i.e. fines) which would ideally cause some consumers to act and thereby increasing the benefits to the market (and firms) from consumer liability. </w:t>
      </w:r>
    </w:p>
    <w:p w14:paraId="2349A7B9" w14:textId="54B75C02" w:rsidR="002A313A" w:rsidRPr="00F276E7" w:rsidRDefault="006324E2" w:rsidP="00F276E7">
      <w:pPr>
        <w:spacing w:line="480" w:lineRule="auto"/>
        <w:rPr>
          <w:b/>
          <w:bCs/>
          <w:sz w:val="22"/>
          <w:szCs w:val="22"/>
        </w:rPr>
      </w:pPr>
      <w:r>
        <w:rPr>
          <w:b/>
          <w:bCs/>
          <w:sz w:val="22"/>
          <w:szCs w:val="22"/>
        </w:rPr>
        <w:t>Limitations</w:t>
      </w:r>
    </w:p>
    <w:p w14:paraId="11B35236" w14:textId="64B3AE4C" w:rsidR="005C0338" w:rsidRDefault="00E57302" w:rsidP="00F276E7">
      <w:pPr>
        <w:spacing w:line="480" w:lineRule="auto"/>
        <w:ind w:firstLine="720"/>
        <w:rPr>
          <w:sz w:val="22"/>
          <w:szCs w:val="22"/>
        </w:rPr>
      </w:pPr>
      <w:r w:rsidRPr="00F276E7">
        <w:rPr>
          <w:sz w:val="22"/>
          <w:szCs w:val="22"/>
        </w:rPr>
        <w:t>Potential contribution</w:t>
      </w:r>
      <w:r w:rsidR="00BB40BA" w:rsidRPr="00F276E7">
        <w:rPr>
          <w:sz w:val="22"/>
          <w:szCs w:val="22"/>
        </w:rPr>
        <w:t>s</w:t>
      </w:r>
      <w:r w:rsidRPr="00F276E7">
        <w:rPr>
          <w:sz w:val="22"/>
          <w:szCs w:val="22"/>
        </w:rPr>
        <w:t xml:space="preserve"> of our study outlined above should be considered in the context of its limitations. </w:t>
      </w:r>
      <w:r w:rsidR="00B419F5" w:rsidRPr="00F276E7">
        <w:rPr>
          <w:sz w:val="22"/>
          <w:szCs w:val="22"/>
        </w:rPr>
        <w:t>First, o</w:t>
      </w:r>
      <w:r w:rsidR="0067105D" w:rsidRPr="00F276E7">
        <w:rPr>
          <w:sz w:val="22"/>
          <w:szCs w:val="22"/>
        </w:rPr>
        <w:t xml:space="preserve">ur study was </w:t>
      </w:r>
      <w:r w:rsidRPr="00F276E7">
        <w:rPr>
          <w:sz w:val="22"/>
          <w:szCs w:val="22"/>
        </w:rPr>
        <w:t>aimed at understanding the</w:t>
      </w:r>
      <w:r w:rsidR="00903412" w:rsidRPr="00F276E7">
        <w:rPr>
          <w:sz w:val="22"/>
          <w:szCs w:val="22"/>
        </w:rPr>
        <w:t xml:space="preserve"> responsiveness</w:t>
      </w:r>
      <w:r w:rsidRPr="00F276E7">
        <w:rPr>
          <w:sz w:val="22"/>
          <w:szCs w:val="22"/>
        </w:rPr>
        <w:t xml:space="preserve"> of </w:t>
      </w:r>
      <w:r w:rsidR="007F107D" w:rsidRPr="00F276E7">
        <w:rPr>
          <w:sz w:val="22"/>
          <w:szCs w:val="22"/>
        </w:rPr>
        <w:t>a firm</w:t>
      </w:r>
      <w:r w:rsidR="00A669D9" w:rsidRPr="00F276E7">
        <w:rPr>
          <w:sz w:val="22"/>
          <w:szCs w:val="22"/>
        </w:rPr>
        <w:t>, but our measure captures the responsiveness of the firm only in a coarse manner</w:t>
      </w:r>
      <w:r w:rsidR="0098736A" w:rsidRPr="00F276E7">
        <w:rPr>
          <w:sz w:val="22"/>
          <w:szCs w:val="22"/>
        </w:rPr>
        <w:t>.</w:t>
      </w:r>
      <w:r w:rsidR="00A669D9" w:rsidRPr="00F276E7">
        <w:rPr>
          <w:sz w:val="22"/>
          <w:szCs w:val="22"/>
        </w:rPr>
        <w:t xml:space="preserve"> </w:t>
      </w:r>
      <w:r w:rsidR="00F626C0" w:rsidRPr="00F276E7">
        <w:rPr>
          <w:sz w:val="22"/>
          <w:szCs w:val="22"/>
        </w:rPr>
        <w:t xml:space="preserve">Specifically, </w:t>
      </w:r>
      <w:r w:rsidR="009209F0" w:rsidRPr="00F276E7">
        <w:rPr>
          <w:sz w:val="22"/>
          <w:szCs w:val="22"/>
        </w:rPr>
        <w:t>i</w:t>
      </w:r>
      <w:r w:rsidR="00F626C0" w:rsidRPr="00F276E7">
        <w:rPr>
          <w:sz w:val="22"/>
          <w:szCs w:val="22"/>
        </w:rPr>
        <w:t xml:space="preserve">n line with prior work (Hora, Bapuji, &amp; Roth, 2011; Muralidharan, Bapuji, &amp; Laplume, 2015), </w:t>
      </w:r>
      <w:r w:rsidR="009209F0" w:rsidRPr="00F276E7">
        <w:rPr>
          <w:sz w:val="22"/>
          <w:szCs w:val="22"/>
        </w:rPr>
        <w:t xml:space="preserve">we computed firm responsiveness using </w:t>
      </w:r>
      <w:r w:rsidR="00F626C0" w:rsidRPr="00F276E7">
        <w:rPr>
          <w:sz w:val="22"/>
          <w:szCs w:val="22"/>
        </w:rPr>
        <w:t xml:space="preserve">product release date </w:t>
      </w:r>
      <w:r w:rsidR="009209F0" w:rsidRPr="00F276E7">
        <w:rPr>
          <w:sz w:val="22"/>
          <w:szCs w:val="22"/>
        </w:rPr>
        <w:t xml:space="preserve">instead of the date on which </w:t>
      </w:r>
      <w:r w:rsidR="00F626C0" w:rsidRPr="00F276E7">
        <w:rPr>
          <w:sz w:val="22"/>
          <w:szCs w:val="22"/>
        </w:rPr>
        <w:t xml:space="preserve">the organization first became aware of the problem </w:t>
      </w:r>
      <w:r w:rsidR="009209F0" w:rsidRPr="00F276E7">
        <w:rPr>
          <w:sz w:val="22"/>
          <w:szCs w:val="22"/>
        </w:rPr>
        <w:t xml:space="preserve">in their product. Our choice of measure was due to lack of data availability, i.e., </w:t>
      </w:r>
      <w:r w:rsidR="00A669D9" w:rsidRPr="00F276E7">
        <w:rPr>
          <w:sz w:val="22"/>
          <w:szCs w:val="22"/>
        </w:rPr>
        <w:t>when firms actually learned about the problem is not available due to the manner in which data is collected and the reservations firms have to share that data due to legal liabilities.</w:t>
      </w:r>
      <w:r w:rsidR="00877ECB">
        <w:rPr>
          <w:sz w:val="22"/>
          <w:szCs w:val="22"/>
        </w:rPr>
        <w:t xml:space="preserve"> When consumers are liable they may be more motivated to inform the company of the recall compared to a market where they are not liable. The information given by consumers to firms was not something we were able to capture.</w:t>
      </w:r>
      <w:r w:rsidR="005C0338">
        <w:rPr>
          <w:sz w:val="22"/>
          <w:szCs w:val="22"/>
        </w:rPr>
        <w:t xml:space="preserve"> Future work may be able to employ an experimental approach involving consumers that measured their willingness to inform the firm</w:t>
      </w:r>
      <w:r w:rsidR="00CC779F">
        <w:rPr>
          <w:sz w:val="22"/>
          <w:szCs w:val="22"/>
        </w:rPr>
        <w:t xml:space="preserve">. In the experimental approach, factors such as the potential of </w:t>
      </w:r>
      <w:r w:rsidR="00E43239">
        <w:rPr>
          <w:sz w:val="22"/>
          <w:szCs w:val="22"/>
        </w:rPr>
        <w:t>liability</w:t>
      </w:r>
      <w:r w:rsidR="00CC779F">
        <w:rPr>
          <w:sz w:val="22"/>
          <w:szCs w:val="22"/>
        </w:rPr>
        <w:t xml:space="preserve"> or the perceived severity of the recall can be isolated and tested accordingly. </w:t>
      </w:r>
    </w:p>
    <w:p w14:paraId="7054093A" w14:textId="4B302975" w:rsidR="00D30359" w:rsidRPr="00F276E7" w:rsidRDefault="00A669D9" w:rsidP="00F276E7">
      <w:pPr>
        <w:spacing w:line="480" w:lineRule="auto"/>
        <w:ind w:firstLine="720"/>
        <w:rPr>
          <w:sz w:val="22"/>
          <w:szCs w:val="22"/>
        </w:rPr>
      </w:pPr>
      <w:r w:rsidRPr="00F276E7">
        <w:rPr>
          <w:sz w:val="22"/>
          <w:szCs w:val="22"/>
        </w:rPr>
        <w:t xml:space="preserve">Although recall data </w:t>
      </w:r>
      <w:r w:rsidR="009209F0" w:rsidRPr="00F276E7">
        <w:rPr>
          <w:sz w:val="22"/>
          <w:szCs w:val="22"/>
        </w:rPr>
        <w:t>does not often provide fine-grained measures</w:t>
      </w:r>
      <w:r w:rsidRPr="00F276E7">
        <w:rPr>
          <w:sz w:val="22"/>
          <w:szCs w:val="22"/>
        </w:rPr>
        <w:t xml:space="preserve">, many scholars have used it to address important questions related to firms. Further, scholars advocated for using recall data to make reasonable inferences given the </w:t>
      </w:r>
      <w:r w:rsidR="0018590B" w:rsidRPr="00F276E7">
        <w:rPr>
          <w:sz w:val="22"/>
          <w:szCs w:val="22"/>
        </w:rPr>
        <w:t xml:space="preserve">substantial </w:t>
      </w:r>
      <w:r w:rsidRPr="00F276E7">
        <w:rPr>
          <w:sz w:val="22"/>
          <w:szCs w:val="22"/>
        </w:rPr>
        <w:t xml:space="preserve">implications that recalls have for firms, international business, and societies (Bapuji &amp; Beamish, 2019). Such inferences can form the basis for better discourse in the industry and regulatory spheres. Additionally, </w:t>
      </w:r>
      <w:r w:rsidR="0018590B" w:rsidRPr="00F276E7">
        <w:rPr>
          <w:sz w:val="22"/>
          <w:szCs w:val="22"/>
        </w:rPr>
        <w:t xml:space="preserve">as has been evidenced in the </w:t>
      </w:r>
      <w:r w:rsidR="00407FF9" w:rsidRPr="00F276E7">
        <w:rPr>
          <w:sz w:val="22"/>
          <w:szCs w:val="22"/>
        </w:rPr>
        <w:t>U.S Consumer Product Safety Commission (</w:t>
      </w:r>
      <w:r w:rsidR="0018590B" w:rsidRPr="00F276E7">
        <w:rPr>
          <w:sz w:val="22"/>
          <w:szCs w:val="22"/>
        </w:rPr>
        <w:t>CPSC</w:t>
      </w:r>
      <w:r w:rsidR="00407FF9" w:rsidRPr="00F276E7">
        <w:rPr>
          <w:sz w:val="22"/>
          <w:szCs w:val="22"/>
        </w:rPr>
        <w:t>)</w:t>
      </w:r>
      <w:r w:rsidR="0018590B" w:rsidRPr="00F276E7">
        <w:rPr>
          <w:sz w:val="22"/>
          <w:szCs w:val="22"/>
        </w:rPr>
        <w:t xml:space="preserve"> data, </w:t>
      </w:r>
      <w:r w:rsidRPr="00F276E7">
        <w:rPr>
          <w:sz w:val="22"/>
          <w:szCs w:val="22"/>
        </w:rPr>
        <w:t xml:space="preserve">usage of recall data would help improve </w:t>
      </w:r>
      <w:r w:rsidR="00D30359" w:rsidRPr="00F276E7">
        <w:rPr>
          <w:sz w:val="22"/>
          <w:szCs w:val="22"/>
        </w:rPr>
        <w:t>the data quality and availability</w:t>
      </w:r>
      <w:r w:rsidRPr="00F276E7">
        <w:rPr>
          <w:sz w:val="22"/>
          <w:szCs w:val="22"/>
        </w:rPr>
        <w:t xml:space="preserve">, </w:t>
      </w:r>
      <w:r w:rsidRPr="00F276E7">
        <w:rPr>
          <w:sz w:val="22"/>
          <w:szCs w:val="22"/>
        </w:rPr>
        <w:lastRenderedPageBreak/>
        <w:t>which will enable future researchers to</w:t>
      </w:r>
      <w:r w:rsidR="00D30359" w:rsidRPr="00F276E7">
        <w:rPr>
          <w:sz w:val="22"/>
          <w:szCs w:val="22"/>
        </w:rPr>
        <w:t xml:space="preserve"> </w:t>
      </w:r>
      <w:r w:rsidRPr="00F276E7">
        <w:rPr>
          <w:sz w:val="22"/>
          <w:szCs w:val="22"/>
        </w:rPr>
        <w:t>capture</w:t>
      </w:r>
      <w:r w:rsidR="00D30359" w:rsidRPr="00F276E7">
        <w:rPr>
          <w:sz w:val="22"/>
          <w:szCs w:val="22"/>
        </w:rPr>
        <w:t xml:space="preserve"> responsiveness </w:t>
      </w:r>
      <w:r w:rsidRPr="00F276E7">
        <w:rPr>
          <w:sz w:val="22"/>
          <w:szCs w:val="22"/>
        </w:rPr>
        <w:t>in a more fine-grained manner</w:t>
      </w:r>
      <w:r w:rsidR="00D30359" w:rsidRPr="00F276E7">
        <w:rPr>
          <w:sz w:val="22"/>
          <w:szCs w:val="22"/>
        </w:rPr>
        <w:t xml:space="preserve"> (</w:t>
      </w:r>
      <w:r w:rsidR="002565C1" w:rsidRPr="00F276E7">
        <w:rPr>
          <w:sz w:val="22"/>
          <w:szCs w:val="22"/>
        </w:rPr>
        <w:t>Bapuji &amp; Beamish, 2019).</w:t>
      </w:r>
      <w:r w:rsidR="005C0338">
        <w:rPr>
          <w:sz w:val="22"/>
          <w:szCs w:val="22"/>
        </w:rPr>
        <w:t xml:space="preserve">  </w:t>
      </w:r>
      <w:r w:rsidR="00903412" w:rsidRPr="00F276E7">
        <w:rPr>
          <w:sz w:val="22"/>
          <w:szCs w:val="22"/>
        </w:rPr>
        <w:t xml:space="preserve"> </w:t>
      </w:r>
    </w:p>
    <w:p w14:paraId="5450196F" w14:textId="0D5BA1B7" w:rsidR="00D000E2" w:rsidRPr="00F276E7" w:rsidRDefault="0018590B" w:rsidP="006324E2">
      <w:pPr>
        <w:spacing w:line="480" w:lineRule="auto"/>
        <w:ind w:firstLine="720"/>
        <w:rPr>
          <w:sz w:val="22"/>
          <w:szCs w:val="22"/>
        </w:rPr>
      </w:pPr>
      <w:r w:rsidRPr="00F276E7">
        <w:rPr>
          <w:sz w:val="22"/>
          <w:szCs w:val="22"/>
        </w:rPr>
        <w:t>Second, w</w:t>
      </w:r>
      <w:r w:rsidR="00903412" w:rsidRPr="00F276E7">
        <w:rPr>
          <w:sz w:val="22"/>
          <w:szCs w:val="22"/>
        </w:rPr>
        <w:t xml:space="preserve">e used the context of automobile recalls to </w:t>
      </w:r>
      <w:r w:rsidR="00325171" w:rsidRPr="00F276E7">
        <w:rPr>
          <w:sz w:val="22"/>
          <w:szCs w:val="22"/>
        </w:rPr>
        <w:t xml:space="preserve">examine </w:t>
      </w:r>
      <w:r w:rsidR="00903412" w:rsidRPr="00F276E7">
        <w:rPr>
          <w:sz w:val="22"/>
          <w:szCs w:val="22"/>
        </w:rPr>
        <w:t>firm responsiveness and advance upon theory</w:t>
      </w:r>
      <w:r w:rsidR="00083A18" w:rsidRPr="00F276E7">
        <w:rPr>
          <w:sz w:val="22"/>
          <w:szCs w:val="22"/>
        </w:rPr>
        <w:t xml:space="preserve">. The primary argument </w:t>
      </w:r>
      <w:r w:rsidRPr="00F276E7">
        <w:rPr>
          <w:sz w:val="22"/>
          <w:szCs w:val="22"/>
        </w:rPr>
        <w:t xml:space="preserve">we used to develop hypotheses </w:t>
      </w:r>
      <w:r w:rsidR="00365C55" w:rsidRPr="00F276E7">
        <w:rPr>
          <w:sz w:val="22"/>
          <w:szCs w:val="22"/>
        </w:rPr>
        <w:t>about differences</w:t>
      </w:r>
      <w:r w:rsidRPr="00F276E7">
        <w:rPr>
          <w:sz w:val="22"/>
          <w:szCs w:val="22"/>
        </w:rPr>
        <w:t xml:space="preserve"> in firm responsiveness </w:t>
      </w:r>
      <w:r w:rsidR="00083A18" w:rsidRPr="00F276E7">
        <w:rPr>
          <w:sz w:val="22"/>
          <w:szCs w:val="22"/>
        </w:rPr>
        <w:t xml:space="preserve">between markets was </w:t>
      </w:r>
      <w:r w:rsidRPr="00F276E7">
        <w:rPr>
          <w:sz w:val="22"/>
          <w:szCs w:val="22"/>
        </w:rPr>
        <w:t>consumer reactance. However, w</w:t>
      </w:r>
      <w:r w:rsidR="006C79FC" w:rsidRPr="00F276E7">
        <w:rPr>
          <w:sz w:val="22"/>
          <w:szCs w:val="22"/>
        </w:rPr>
        <w:t xml:space="preserve">e conducted our analysis using only secondary data, </w:t>
      </w:r>
      <w:r w:rsidRPr="00F276E7">
        <w:rPr>
          <w:sz w:val="22"/>
          <w:szCs w:val="22"/>
        </w:rPr>
        <w:t>and could not capture</w:t>
      </w:r>
      <w:r w:rsidR="006C79FC" w:rsidRPr="00F276E7">
        <w:rPr>
          <w:sz w:val="22"/>
          <w:szCs w:val="22"/>
        </w:rPr>
        <w:t xml:space="preserve"> level of reactance</w:t>
      </w:r>
      <w:r w:rsidRPr="00F276E7">
        <w:rPr>
          <w:sz w:val="22"/>
          <w:szCs w:val="22"/>
        </w:rPr>
        <w:t xml:space="preserve"> to test it as a theoretical mechanism</w:t>
      </w:r>
      <w:r w:rsidR="006C79FC" w:rsidRPr="00F276E7">
        <w:rPr>
          <w:sz w:val="22"/>
          <w:szCs w:val="22"/>
        </w:rPr>
        <w:t xml:space="preserve">. </w:t>
      </w:r>
      <w:r w:rsidRPr="00F276E7">
        <w:rPr>
          <w:sz w:val="22"/>
          <w:szCs w:val="22"/>
        </w:rPr>
        <w:t xml:space="preserve">As a result, we could not provide support for this mechanism and rule out alternative explanations. For example, it is possible </w:t>
      </w:r>
      <w:r w:rsidR="006C79FC" w:rsidRPr="00F276E7">
        <w:rPr>
          <w:sz w:val="22"/>
          <w:szCs w:val="22"/>
        </w:rPr>
        <w:t xml:space="preserve">that consumers </w:t>
      </w:r>
      <w:r w:rsidRPr="00F276E7">
        <w:rPr>
          <w:sz w:val="22"/>
          <w:szCs w:val="22"/>
        </w:rPr>
        <w:t xml:space="preserve">may not get </w:t>
      </w:r>
      <w:r w:rsidR="006C79FC" w:rsidRPr="00F276E7">
        <w:rPr>
          <w:sz w:val="22"/>
          <w:szCs w:val="22"/>
        </w:rPr>
        <w:t>their recalled vehicles repaired</w:t>
      </w:r>
      <w:r w:rsidRPr="00F276E7">
        <w:rPr>
          <w:sz w:val="22"/>
          <w:szCs w:val="22"/>
        </w:rPr>
        <w:t xml:space="preserve"> fully knowing the consequences, such as seizure of their vehicle by transport authorities</w:t>
      </w:r>
      <w:r w:rsidR="00FC3761" w:rsidRPr="00F276E7">
        <w:rPr>
          <w:sz w:val="22"/>
          <w:szCs w:val="22"/>
        </w:rPr>
        <w:t xml:space="preserve">. </w:t>
      </w:r>
      <w:r w:rsidRPr="00F276E7">
        <w:rPr>
          <w:sz w:val="22"/>
          <w:szCs w:val="22"/>
        </w:rPr>
        <w:t xml:space="preserve">In other words, consumers may not entirely direct their negative reaction to firms and may accept their own responsibility. </w:t>
      </w:r>
      <w:bookmarkStart w:id="7" w:name="_Hlk153913731"/>
      <w:r w:rsidR="004739E9" w:rsidRPr="00F276E7">
        <w:rPr>
          <w:sz w:val="22"/>
          <w:szCs w:val="22"/>
        </w:rPr>
        <w:t xml:space="preserve">It is also possible that </w:t>
      </w:r>
      <w:r w:rsidRPr="00F276E7">
        <w:rPr>
          <w:sz w:val="22"/>
          <w:szCs w:val="22"/>
        </w:rPr>
        <w:t xml:space="preserve">firms and </w:t>
      </w:r>
      <w:r w:rsidR="004739E9" w:rsidRPr="00F276E7">
        <w:rPr>
          <w:sz w:val="22"/>
          <w:szCs w:val="22"/>
        </w:rPr>
        <w:t>consumers act differently in each market due to the regulatory differences</w:t>
      </w:r>
      <w:r w:rsidR="00F626C0" w:rsidRPr="00F276E7">
        <w:rPr>
          <w:sz w:val="22"/>
          <w:szCs w:val="22"/>
        </w:rPr>
        <w:t xml:space="preserve">. As well, it is possible that other institutional factors that are unknown to us might have influenced the results. All of these </w:t>
      </w:r>
      <w:r w:rsidR="00365C55" w:rsidRPr="00F276E7">
        <w:rPr>
          <w:sz w:val="22"/>
          <w:szCs w:val="22"/>
        </w:rPr>
        <w:t>factors can</w:t>
      </w:r>
      <w:r w:rsidRPr="00F276E7">
        <w:rPr>
          <w:sz w:val="22"/>
          <w:szCs w:val="22"/>
        </w:rPr>
        <w:t xml:space="preserve"> be explored in </w:t>
      </w:r>
      <w:r w:rsidR="004739E9" w:rsidRPr="00F276E7">
        <w:rPr>
          <w:sz w:val="22"/>
          <w:szCs w:val="22"/>
        </w:rPr>
        <w:t xml:space="preserve"> future research. </w:t>
      </w:r>
      <w:r w:rsidR="00FC3761" w:rsidRPr="00F276E7">
        <w:rPr>
          <w:sz w:val="22"/>
          <w:szCs w:val="22"/>
        </w:rPr>
        <w:t xml:space="preserve"> </w:t>
      </w:r>
      <w:r w:rsidR="00903412" w:rsidRPr="00F276E7">
        <w:rPr>
          <w:sz w:val="22"/>
          <w:szCs w:val="22"/>
        </w:rPr>
        <w:t xml:space="preserve">  </w:t>
      </w:r>
      <w:bookmarkEnd w:id="7"/>
    </w:p>
    <w:p w14:paraId="0A0CAEAE" w14:textId="7E55CB50" w:rsidR="00F626C0" w:rsidRPr="00F276E7" w:rsidRDefault="007F107D" w:rsidP="006324E2">
      <w:pPr>
        <w:spacing w:line="480" w:lineRule="auto"/>
        <w:rPr>
          <w:sz w:val="22"/>
          <w:szCs w:val="22"/>
        </w:rPr>
      </w:pPr>
      <w:r w:rsidRPr="00F276E7">
        <w:rPr>
          <w:sz w:val="22"/>
          <w:szCs w:val="22"/>
        </w:rPr>
        <w:tab/>
      </w:r>
      <w:r w:rsidR="0018590B" w:rsidRPr="00F276E7">
        <w:rPr>
          <w:sz w:val="22"/>
          <w:szCs w:val="22"/>
        </w:rPr>
        <w:t>Third</w:t>
      </w:r>
      <w:r w:rsidR="00043885" w:rsidRPr="00F276E7">
        <w:rPr>
          <w:sz w:val="22"/>
          <w:szCs w:val="22"/>
        </w:rPr>
        <w:t xml:space="preserve">, </w:t>
      </w:r>
      <w:r w:rsidR="00E57302" w:rsidRPr="00F276E7">
        <w:rPr>
          <w:sz w:val="22"/>
          <w:szCs w:val="22"/>
        </w:rPr>
        <w:t xml:space="preserve">the </w:t>
      </w:r>
      <w:r w:rsidR="00F626C0" w:rsidRPr="00F276E7">
        <w:rPr>
          <w:sz w:val="22"/>
          <w:szCs w:val="22"/>
        </w:rPr>
        <w:t xml:space="preserve">validity </w:t>
      </w:r>
      <w:r w:rsidR="00E57302" w:rsidRPr="00F276E7">
        <w:rPr>
          <w:sz w:val="22"/>
          <w:szCs w:val="22"/>
        </w:rPr>
        <w:t>of our findings</w:t>
      </w:r>
      <w:r w:rsidR="00F626C0" w:rsidRPr="00F276E7">
        <w:rPr>
          <w:sz w:val="22"/>
          <w:szCs w:val="22"/>
        </w:rPr>
        <w:t xml:space="preserve"> should be assessed within the context of limitations with respect to measurement of independent variables. For example</w:t>
      </w:r>
      <w:r w:rsidR="0021750B" w:rsidRPr="00F276E7">
        <w:rPr>
          <w:sz w:val="22"/>
          <w:szCs w:val="22"/>
        </w:rPr>
        <w:t>, a</w:t>
      </w:r>
      <w:r w:rsidR="00043885" w:rsidRPr="00F276E7">
        <w:rPr>
          <w:sz w:val="22"/>
          <w:szCs w:val="22"/>
        </w:rPr>
        <w:t xml:space="preserve">lthough </w:t>
      </w:r>
      <w:r w:rsidR="00AB1842">
        <w:rPr>
          <w:sz w:val="22"/>
          <w:szCs w:val="22"/>
        </w:rPr>
        <w:t xml:space="preserve">product safety regulations </w:t>
      </w:r>
      <w:r w:rsidR="00043885" w:rsidRPr="00F276E7">
        <w:rPr>
          <w:sz w:val="22"/>
          <w:szCs w:val="22"/>
        </w:rPr>
        <w:t xml:space="preserve">in </w:t>
      </w:r>
      <w:r w:rsidR="00E57302" w:rsidRPr="00F276E7">
        <w:rPr>
          <w:sz w:val="22"/>
          <w:szCs w:val="22"/>
        </w:rPr>
        <w:t xml:space="preserve">the </w:t>
      </w:r>
      <w:r w:rsidR="000A1B0A" w:rsidRPr="00F276E7">
        <w:rPr>
          <w:sz w:val="22"/>
          <w:szCs w:val="22"/>
        </w:rPr>
        <w:t>U.K</w:t>
      </w:r>
      <w:r w:rsidR="004E6DEF" w:rsidRPr="00F276E7">
        <w:rPr>
          <w:sz w:val="22"/>
          <w:szCs w:val="22"/>
        </w:rPr>
        <w:t xml:space="preserve"> and Germany</w:t>
      </w:r>
      <w:r w:rsidR="00043885" w:rsidRPr="00F276E7">
        <w:rPr>
          <w:sz w:val="22"/>
          <w:szCs w:val="22"/>
        </w:rPr>
        <w:t xml:space="preserve"> </w:t>
      </w:r>
      <w:r w:rsidR="00AB1842">
        <w:rPr>
          <w:sz w:val="22"/>
          <w:szCs w:val="22"/>
        </w:rPr>
        <w:t>create consumer liability</w:t>
      </w:r>
      <w:r w:rsidR="00043885" w:rsidRPr="00F276E7">
        <w:rPr>
          <w:sz w:val="22"/>
          <w:szCs w:val="22"/>
        </w:rPr>
        <w:t xml:space="preserve">, </w:t>
      </w:r>
      <w:r w:rsidR="00E57302" w:rsidRPr="00F276E7">
        <w:rPr>
          <w:sz w:val="22"/>
          <w:szCs w:val="22"/>
        </w:rPr>
        <w:t xml:space="preserve">our dummy measure is a </w:t>
      </w:r>
      <w:r w:rsidR="00B419F5" w:rsidRPr="00F276E7">
        <w:rPr>
          <w:sz w:val="22"/>
          <w:szCs w:val="22"/>
        </w:rPr>
        <w:t>coarse</w:t>
      </w:r>
      <w:r w:rsidR="00E57302" w:rsidRPr="00F276E7">
        <w:rPr>
          <w:sz w:val="22"/>
          <w:szCs w:val="22"/>
        </w:rPr>
        <w:t xml:space="preserve"> proxy and does not capture </w:t>
      </w:r>
      <w:r w:rsidR="00387C55" w:rsidRPr="00F276E7">
        <w:rPr>
          <w:sz w:val="22"/>
          <w:szCs w:val="22"/>
        </w:rPr>
        <w:t xml:space="preserve">the </w:t>
      </w:r>
      <w:r w:rsidR="00043885" w:rsidRPr="00F276E7">
        <w:rPr>
          <w:sz w:val="22"/>
          <w:szCs w:val="22"/>
        </w:rPr>
        <w:t xml:space="preserve">extent to which consumers are </w:t>
      </w:r>
      <w:r w:rsidR="00B419F5" w:rsidRPr="00F276E7">
        <w:rPr>
          <w:sz w:val="22"/>
          <w:szCs w:val="22"/>
        </w:rPr>
        <w:t xml:space="preserve">actually </w:t>
      </w:r>
      <w:r w:rsidR="00043885" w:rsidRPr="00F276E7">
        <w:rPr>
          <w:sz w:val="22"/>
          <w:szCs w:val="22"/>
        </w:rPr>
        <w:t>targeted in practice</w:t>
      </w:r>
      <w:r w:rsidR="00387C55" w:rsidRPr="00F276E7">
        <w:rPr>
          <w:sz w:val="22"/>
          <w:szCs w:val="22"/>
        </w:rPr>
        <w:t>.</w:t>
      </w:r>
      <w:r w:rsidR="00D56856" w:rsidRPr="00F276E7">
        <w:rPr>
          <w:sz w:val="22"/>
          <w:szCs w:val="22"/>
        </w:rPr>
        <w:t xml:space="preserve"> </w:t>
      </w:r>
    </w:p>
    <w:p w14:paraId="719559C3" w14:textId="3FA1D716" w:rsidR="00F626C0" w:rsidRPr="00F276E7" w:rsidRDefault="00F626C0" w:rsidP="006324E2">
      <w:pPr>
        <w:spacing w:line="480" w:lineRule="auto"/>
        <w:rPr>
          <w:sz w:val="22"/>
          <w:szCs w:val="22"/>
        </w:rPr>
      </w:pPr>
      <w:r w:rsidRPr="00F276E7">
        <w:rPr>
          <w:sz w:val="22"/>
          <w:szCs w:val="22"/>
        </w:rPr>
        <w:tab/>
        <w:t>Finally, the generalizability of our study is limited due to the empirical context as well as sample characteristics. For example, relative to many other industries, auto industry is characterized by keystone players (Kim &amp; Mudambi, 2020), fewer products, and intense competition. Further, an automobile represents an infrequent but important investment for consumers, one that they tend to use frequently. Therefore, the dynamics of company-consumer interaction are different in the auto industry than in other consumer-product industries. Further, we included only new products in our analysis, which also limits the generalizability of our findings by limiting the extent to which implications can be drawn for all products.</w:t>
      </w:r>
    </w:p>
    <w:p w14:paraId="7DC9BA8F" w14:textId="2364EBF0" w:rsidR="00E57302" w:rsidRPr="00F276E7" w:rsidRDefault="00DF5913" w:rsidP="00F276E7">
      <w:pPr>
        <w:spacing w:line="480" w:lineRule="auto"/>
        <w:ind w:firstLine="720"/>
        <w:rPr>
          <w:sz w:val="22"/>
          <w:szCs w:val="22"/>
        </w:rPr>
      </w:pPr>
      <w:r w:rsidRPr="00F276E7">
        <w:rPr>
          <w:i/>
          <w:iCs/>
          <w:sz w:val="22"/>
          <w:szCs w:val="22"/>
        </w:rPr>
        <w:lastRenderedPageBreak/>
        <w:t>In conclusion</w:t>
      </w:r>
      <w:r w:rsidRPr="00F276E7">
        <w:rPr>
          <w:sz w:val="22"/>
          <w:szCs w:val="22"/>
        </w:rPr>
        <w:t>, p</w:t>
      </w:r>
      <w:r w:rsidR="00C86F33" w:rsidRPr="00F276E7">
        <w:rPr>
          <w:sz w:val="22"/>
          <w:szCs w:val="22"/>
        </w:rPr>
        <w:t xml:space="preserve">olicy makers are often hesitant to impose </w:t>
      </w:r>
      <w:r w:rsidR="00365C55">
        <w:rPr>
          <w:sz w:val="22"/>
          <w:szCs w:val="22"/>
        </w:rPr>
        <w:t>liability on</w:t>
      </w:r>
      <w:r w:rsidR="00C86F33" w:rsidRPr="00F276E7">
        <w:rPr>
          <w:sz w:val="22"/>
          <w:szCs w:val="22"/>
        </w:rPr>
        <w:t xml:space="preserve"> consumers when the alternative is to focus on firms instead</w:t>
      </w:r>
      <w:r w:rsidR="00FC3761" w:rsidRPr="00F276E7">
        <w:rPr>
          <w:sz w:val="22"/>
          <w:szCs w:val="22"/>
        </w:rPr>
        <w:t xml:space="preserve">. </w:t>
      </w:r>
      <w:r w:rsidR="00C86F33" w:rsidRPr="00F276E7">
        <w:rPr>
          <w:sz w:val="22"/>
          <w:szCs w:val="22"/>
        </w:rPr>
        <w:t xml:space="preserve">However, </w:t>
      </w:r>
      <w:r w:rsidR="00FC3761" w:rsidRPr="00F276E7">
        <w:rPr>
          <w:sz w:val="22"/>
          <w:szCs w:val="22"/>
        </w:rPr>
        <w:t xml:space="preserve">increased </w:t>
      </w:r>
      <w:r w:rsidR="00365C55">
        <w:rPr>
          <w:sz w:val="22"/>
          <w:szCs w:val="22"/>
        </w:rPr>
        <w:t xml:space="preserve">product safety </w:t>
      </w:r>
      <w:r w:rsidR="00FC3761" w:rsidRPr="00F276E7">
        <w:rPr>
          <w:sz w:val="22"/>
          <w:szCs w:val="22"/>
        </w:rPr>
        <w:t>regulations which target both firms and</w:t>
      </w:r>
      <w:r w:rsidR="00365C55">
        <w:rPr>
          <w:sz w:val="22"/>
          <w:szCs w:val="22"/>
        </w:rPr>
        <w:t xml:space="preserve"> create consumer liability</w:t>
      </w:r>
      <w:r w:rsidR="00FC3761" w:rsidRPr="00F276E7">
        <w:rPr>
          <w:sz w:val="22"/>
          <w:szCs w:val="22"/>
        </w:rPr>
        <w:t xml:space="preserve"> can enhance the responsiveness of firms. The negative </w:t>
      </w:r>
      <w:r w:rsidR="007D3C28" w:rsidRPr="00F276E7">
        <w:rPr>
          <w:sz w:val="22"/>
          <w:szCs w:val="22"/>
        </w:rPr>
        <w:t>consequences imposed on consumers</w:t>
      </w:r>
      <w:r w:rsidR="00F237C9" w:rsidRPr="00F276E7">
        <w:rPr>
          <w:sz w:val="22"/>
          <w:szCs w:val="22"/>
        </w:rPr>
        <w:t xml:space="preserve"> due to actions of firms </w:t>
      </w:r>
      <w:r w:rsidR="007D3C28" w:rsidRPr="00F276E7">
        <w:rPr>
          <w:sz w:val="22"/>
          <w:szCs w:val="22"/>
        </w:rPr>
        <w:t xml:space="preserve">can provide the </w:t>
      </w:r>
      <w:r w:rsidR="00507099" w:rsidRPr="00F276E7">
        <w:rPr>
          <w:sz w:val="22"/>
          <w:szCs w:val="22"/>
        </w:rPr>
        <w:t>necessar</w:t>
      </w:r>
      <w:r w:rsidR="00F237C9" w:rsidRPr="00F276E7">
        <w:rPr>
          <w:sz w:val="22"/>
          <w:szCs w:val="22"/>
        </w:rPr>
        <w:t>y</w:t>
      </w:r>
      <w:r w:rsidR="00507099" w:rsidRPr="00F276E7">
        <w:rPr>
          <w:sz w:val="22"/>
          <w:szCs w:val="22"/>
        </w:rPr>
        <w:t xml:space="preserve"> </w:t>
      </w:r>
      <w:r w:rsidR="007D3C28" w:rsidRPr="00F276E7">
        <w:rPr>
          <w:sz w:val="22"/>
          <w:szCs w:val="22"/>
        </w:rPr>
        <w:t>impetus for the firm</w:t>
      </w:r>
      <w:r w:rsidR="00F237C9" w:rsidRPr="00F276E7">
        <w:rPr>
          <w:sz w:val="22"/>
          <w:szCs w:val="22"/>
        </w:rPr>
        <w:t>s</w:t>
      </w:r>
      <w:r w:rsidR="007D3C28" w:rsidRPr="00F276E7">
        <w:rPr>
          <w:sz w:val="22"/>
          <w:szCs w:val="22"/>
        </w:rPr>
        <w:t xml:space="preserve"> to act. </w:t>
      </w:r>
      <w:r>
        <w:rPr>
          <w:sz w:val="22"/>
          <w:szCs w:val="22"/>
        </w:rPr>
        <w:t xml:space="preserve">Further, by standardizing products across markets that differ in their regulatory focus, firms can improve their responsiveness. </w:t>
      </w:r>
      <w:r w:rsidR="00B82E7C" w:rsidRPr="00F276E7">
        <w:rPr>
          <w:sz w:val="22"/>
          <w:szCs w:val="22"/>
        </w:rPr>
        <w:t xml:space="preserve">These findings contribute to </w:t>
      </w:r>
      <w:r w:rsidR="00737801" w:rsidRPr="00F276E7">
        <w:rPr>
          <w:sz w:val="22"/>
          <w:szCs w:val="22"/>
        </w:rPr>
        <w:t>international business</w:t>
      </w:r>
      <w:r w:rsidR="007D3C28" w:rsidRPr="00F276E7">
        <w:rPr>
          <w:sz w:val="22"/>
          <w:szCs w:val="22"/>
        </w:rPr>
        <w:t xml:space="preserve"> and policy</w:t>
      </w:r>
      <w:r w:rsidR="00B82E7C" w:rsidRPr="00F276E7">
        <w:rPr>
          <w:sz w:val="22"/>
          <w:szCs w:val="22"/>
        </w:rPr>
        <w:t xml:space="preserve"> </w:t>
      </w:r>
      <w:r>
        <w:rPr>
          <w:sz w:val="22"/>
          <w:szCs w:val="22"/>
        </w:rPr>
        <w:t>research and practice</w:t>
      </w:r>
      <w:r w:rsidR="007D3C28" w:rsidRPr="00F276E7">
        <w:rPr>
          <w:sz w:val="22"/>
          <w:szCs w:val="22"/>
        </w:rPr>
        <w:t xml:space="preserve">. </w:t>
      </w:r>
    </w:p>
    <w:p w14:paraId="3F0709BE" w14:textId="7D9B4DCD" w:rsidR="00D83D82" w:rsidRPr="00F276E7" w:rsidRDefault="00807B3A" w:rsidP="00F276E7">
      <w:pPr>
        <w:widowControl w:val="0"/>
        <w:snapToGrid w:val="0"/>
        <w:spacing w:line="480" w:lineRule="auto"/>
        <w:rPr>
          <w:b/>
          <w:sz w:val="28"/>
          <w:szCs w:val="28"/>
        </w:rPr>
      </w:pPr>
      <w:r w:rsidRPr="002D6A77">
        <w:br w:type="page"/>
      </w:r>
      <w:r w:rsidR="006743D9" w:rsidRPr="00F276E7">
        <w:rPr>
          <w:b/>
          <w:sz w:val="28"/>
          <w:szCs w:val="28"/>
        </w:rPr>
        <w:lastRenderedPageBreak/>
        <w:t>REFERENCES</w:t>
      </w:r>
    </w:p>
    <w:p w14:paraId="7A331EF8" w14:textId="6FBF03BA" w:rsidR="00616824" w:rsidRPr="00F276E7" w:rsidRDefault="00616824" w:rsidP="00F276E7">
      <w:pPr>
        <w:widowControl w:val="0"/>
        <w:snapToGrid w:val="0"/>
        <w:spacing w:line="480" w:lineRule="auto"/>
        <w:ind w:left="360" w:hanging="360"/>
        <w:rPr>
          <w:sz w:val="22"/>
          <w:szCs w:val="22"/>
        </w:rPr>
      </w:pPr>
      <w:bookmarkStart w:id="8" w:name="_ENREF_1"/>
      <w:r w:rsidRPr="00F276E7">
        <w:rPr>
          <w:sz w:val="22"/>
          <w:szCs w:val="22"/>
        </w:rPr>
        <w:t>Argote, L</w:t>
      </w:r>
      <w:r w:rsidR="006743D9" w:rsidRPr="00F276E7">
        <w:rPr>
          <w:sz w:val="22"/>
          <w:szCs w:val="22"/>
        </w:rPr>
        <w:t>.</w:t>
      </w:r>
      <w:r w:rsidRPr="00F276E7">
        <w:rPr>
          <w:sz w:val="22"/>
          <w:szCs w:val="22"/>
        </w:rPr>
        <w:t xml:space="preserve"> 1999</w:t>
      </w:r>
      <w:r w:rsidR="00EC5224" w:rsidRPr="00F276E7">
        <w:rPr>
          <w:sz w:val="22"/>
          <w:szCs w:val="22"/>
        </w:rPr>
        <w:t>.</w:t>
      </w:r>
      <w:r w:rsidRPr="00F276E7">
        <w:rPr>
          <w:sz w:val="22"/>
          <w:szCs w:val="22"/>
        </w:rPr>
        <w:t xml:space="preserve"> </w:t>
      </w:r>
      <w:r w:rsidRPr="00F276E7">
        <w:rPr>
          <w:i/>
          <w:sz w:val="22"/>
          <w:szCs w:val="22"/>
        </w:rPr>
        <w:t>Organizational learning: Creating, retaining, and transferring knowledge</w:t>
      </w:r>
      <w:r w:rsidRPr="00F276E7">
        <w:rPr>
          <w:sz w:val="22"/>
          <w:szCs w:val="22"/>
        </w:rPr>
        <w:t>. Boston: Kluwer Academic.</w:t>
      </w:r>
      <w:bookmarkEnd w:id="8"/>
    </w:p>
    <w:p w14:paraId="16381402" w14:textId="73597251" w:rsidR="00616824" w:rsidRPr="00F276E7" w:rsidRDefault="00616824" w:rsidP="00F276E7">
      <w:pPr>
        <w:widowControl w:val="0"/>
        <w:snapToGrid w:val="0"/>
        <w:spacing w:line="480" w:lineRule="auto"/>
        <w:ind w:left="360" w:hanging="360"/>
        <w:rPr>
          <w:sz w:val="22"/>
          <w:szCs w:val="22"/>
        </w:rPr>
      </w:pPr>
      <w:bookmarkStart w:id="9" w:name="_ENREF_3"/>
      <w:r w:rsidRPr="00F276E7">
        <w:rPr>
          <w:sz w:val="22"/>
          <w:szCs w:val="22"/>
        </w:rPr>
        <w:t>Argote, L</w:t>
      </w:r>
      <w:r w:rsidR="00EC5224" w:rsidRPr="00F276E7">
        <w:rPr>
          <w:sz w:val="22"/>
          <w:szCs w:val="22"/>
        </w:rPr>
        <w:t>.</w:t>
      </w:r>
      <w:r w:rsidRPr="00F276E7">
        <w:rPr>
          <w:sz w:val="22"/>
          <w:szCs w:val="22"/>
        </w:rPr>
        <w:t xml:space="preserve">, </w:t>
      </w:r>
      <w:r w:rsidR="00DD2D0D" w:rsidRPr="00F276E7">
        <w:rPr>
          <w:sz w:val="22"/>
          <w:szCs w:val="22"/>
        </w:rPr>
        <w:t>Beckman</w:t>
      </w:r>
      <w:r w:rsidRPr="00F276E7">
        <w:rPr>
          <w:sz w:val="22"/>
          <w:szCs w:val="22"/>
        </w:rPr>
        <w:t>,</w:t>
      </w:r>
      <w:r w:rsidR="00EC5224" w:rsidRPr="00F276E7">
        <w:rPr>
          <w:sz w:val="22"/>
          <w:szCs w:val="22"/>
        </w:rPr>
        <w:t xml:space="preserve"> S. L., &amp;</w:t>
      </w:r>
      <w:r w:rsidRPr="00F276E7">
        <w:rPr>
          <w:sz w:val="22"/>
          <w:szCs w:val="22"/>
        </w:rPr>
        <w:t xml:space="preserve"> </w:t>
      </w:r>
      <w:r w:rsidR="00DD2D0D" w:rsidRPr="00F276E7">
        <w:rPr>
          <w:sz w:val="22"/>
          <w:szCs w:val="22"/>
        </w:rPr>
        <w:t>Epple</w:t>
      </w:r>
      <w:r w:rsidR="00EC5224" w:rsidRPr="00F276E7">
        <w:rPr>
          <w:sz w:val="22"/>
          <w:szCs w:val="22"/>
        </w:rPr>
        <w:t>, D.</w:t>
      </w:r>
      <w:r w:rsidRPr="00F276E7">
        <w:rPr>
          <w:sz w:val="22"/>
          <w:szCs w:val="22"/>
        </w:rPr>
        <w:t xml:space="preserve"> 1990</w:t>
      </w:r>
      <w:r w:rsidR="00EC5224" w:rsidRPr="00F276E7">
        <w:rPr>
          <w:sz w:val="22"/>
          <w:szCs w:val="22"/>
        </w:rPr>
        <w:t>.</w:t>
      </w:r>
      <w:r w:rsidRPr="00F276E7">
        <w:rPr>
          <w:sz w:val="22"/>
          <w:szCs w:val="22"/>
        </w:rPr>
        <w:t xml:space="preserve"> The persistence and transfer of learning in industrial settings</w:t>
      </w:r>
      <w:r w:rsidR="00EC5224" w:rsidRPr="00F276E7">
        <w:rPr>
          <w:sz w:val="22"/>
          <w:szCs w:val="22"/>
        </w:rPr>
        <w:t>.</w:t>
      </w:r>
      <w:r w:rsidRPr="00F276E7">
        <w:rPr>
          <w:sz w:val="22"/>
          <w:szCs w:val="22"/>
        </w:rPr>
        <w:t xml:space="preserve"> </w:t>
      </w:r>
      <w:r w:rsidRPr="00F276E7">
        <w:rPr>
          <w:i/>
          <w:sz w:val="22"/>
          <w:szCs w:val="22"/>
        </w:rPr>
        <w:t xml:space="preserve">Management Science, </w:t>
      </w:r>
      <w:r w:rsidRPr="00F276E7">
        <w:rPr>
          <w:sz w:val="22"/>
          <w:szCs w:val="22"/>
        </w:rPr>
        <w:t>36(2)</w:t>
      </w:r>
      <w:r w:rsidR="00EC5224" w:rsidRPr="00F276E7">
        <w:rPr>
          <w:sz w:val="22"/>
          <w:szCs w:val="22"/>
        </w:rPr>
        <w:t>:</w:t>
      </w:r>
      <w:r w:rsidRPr="00F276E7">
        <w:rPr>
          <w:sz w:val="22"/>
          <w:szCs w:val="22"/>
        </w:rPr>
        <w:t xml:space="preserve"> 140-</w:t>
      </w:r>
      <w:r w:rsidR="00036753" w:rsidRPr="00F276E7">
        <w:rPr>
          <w:sz w:val="22"/>
          <w:szCs w:val="22"/>
        </w:rPr>
        <w:t>1</w:t>
      </w:r>
      <w:r w:rsidRPr="00F276E7">
        <w:rPr>
          <w:sz w:val="22"/>
          <w:szCs w:val="22"/>
        </w:rPr>
        <w:t>54.</w:t>
      </w:r>
      <w:bookmarkEnd w:id="9"/>
    </w:p>
    <w:p w14:paraId="780798F9" w14:textId="607C1E59" w:rsidR="00E95F35" w:rsidRPr="00F276E7" w:rsidRDefault="00E95F35" w:rsidP="00F276E7">
      <w:pPr>
        <w:widowControl w:val="0"/>
        <w:snapToGrid w:val="0"/>
        <w:spacing w:line="480" w:lineRule="auto"/>
        <w:ind w:left="360" w:hanging="360"/>
        <w:rPr>
          <w:color w:val="222222"/>
          <w:sz w:val="22"/>
          <w:szCs w:val="22"/>
          <w:shd w:val="clear" w:color="auto" w:fill="FFFFFF"/>
        </w:rPr>
      </w:pPr>
      <w:r w:rsidRPr="00F276E7">
        <w:rPr>
          <w:color w:val="222222"/>
          <w:sz w:val="22"/>
          <w:szCs w:val="22"/>
          <w:shd w:val="clear" w:color="auto" w:fill="FFFFFF"/>
        </w:rPr>
        <w:t>Asher, A. 1998. Going global: a new paradigm for consumer protection. </w:t>
      </w:r>
      <w:r w:rsidRPr="00F276E7">
        <w:rPr>
          <w:i/>
          <w:iCs/>
          <w:color w:val="222222"/>
          <w:sz w:val="22"/>
          <w:szCs w:val="22"/>
          <w:shd w:val="clear" w:color="auto" w:fill="FFFFFF"/>
        </w:rPr>
        <w:t>The Journal of Consumer Affairs</w:t>
      </w:r>
      <w:r w:rsidRPr="00F276E7">
        <w:rPr>
          <w:color w:val="222222"/>
          <w:sz w:val="22"/>
          <w:szCs w:val="22"/>
          <w:shd w:val="clear" w:color="auto" w:fill="FFFFFF"/>
        </w:rPr>
        <w:t>, 32(2)</w:t>
      </w:r>
      <w:r w:rsidR="00C55A18" w:rsidRPr="00F276E7">
        <w:rPr>
          <w:color w:val="222222"/>
          <w:sz w:val="22"/>
          <w:szCs w:val="22"/>
          <w:shd w:val="clear" w:color="auto" w:fill="FFFFFF"/>
        </w:rPr>
        <w:t>:</w:t>
      </w:r>
      <w:r w:rsidRPr="00F276E7">
        <w:rPr>
          <w:color w:val="222222"/>
          <w:sz w:val="22"/>
          <w:szCs w:val="22"/>
          <w:shd w:val="clear" w:color="auto" w:fill="FFFFFF"/>
        </w:rPr>
        <w:t xml:space="preserve"> 183-203.</w:t>
      </w:r>
    </w:p>
    <w:p w14:paraId="6F2FA093" w14:textId="4E5E0980" w:rsidR="00EE559E" w:rsidRPr="00F276E7" w:rsidRDefault="00EE559E" w:rsidP="00F276E7">
      <w:pPr>
        <w:widowControl w:val="0"/>
        <w:snapToGrid w:val="0"/>
        <w:spacing w:line="480" w:lineRule="auto"/>
        <w:ind w:left="360" w:hanging="360"/>
        <w:rPr>
          <w:sz w:val="22"/>
          <w:szCs w:val="22"/>
        </w:rPr>
      </w:pPr>
      <w:r w:rsidRPr="00F276E7">
        <w:rPr>
          <w:color w:val="222222"/>
          <w:sz w:val="22"/>
          <w:szCs w:val="22"/>
          <w:shd w:val="clear" w:color="auto" w:fill="FFFFFF"/>
        </w:rPr>
        <w:t xml:space="preserve">Attwell, K., Navin, M. C., </w:t>
      </w:r>
      <w:proofErr w:type="spellStart"/>
      <w:r w:rsidRPr="00F276E7">
        <w:rPr>
          <w:color w:val="222222"/>
          <w:sz w:val="22"/>
          <w:szCs w:val="22"/>
          <w:shd w:val="clear" w:color="auto" w:fill="FFFFFF"/>
        </w:rPr>
        <w:t>Lopalco</w:t>
      </w:r>
      <w:proofErr w:type="spellEnd"/>
      <w:r w:rsidRPr="00F276E7">
        <w:rPr>
          <w:color w:val="222222"/>
          <w:sz w:val="22"/>
          <w:szCs w:val="22"/>
          <w:shd w:val="clear" w:color="auto" w:fill="FFFFFF"/>
        </w:rPr>
        <w:t xml:space="preserve">, P. L., Jestin, C., Reiter, S., &amp; Omer, S. B. 2018. Recent vaccine mandates in the </w:t>
      </w:r>
      <w:r w:rsidR="000A1B0A" w:rsidRPr="00F276E7">
        <w:rPr>
          <w:color w:val="222222"/>
          <w:sz w:val="22"/>
          <w:szCs w:val="22"/>
          <w:shd w:val="clear" w:color="auto" w:fill="FFFFFF"/>
        </w:rPr>
        <w:t>U.S</w:t>
      </w:r>
      <w:r w:rsidRPr="00F276E7">
        <w:rPr>
          <w:color w:val="222222"/>
          <w:sz w:val="22"/>
          <w:szCs w:val="22"/>
          <w:shd w:val="clear" w:color="auto" w:fill="FFFFFF"/>
        </w:rPr>
        <w:t>, Europe and Australia: a comparative study. </w:t>
      </w:r>
      <w:r w:rsidRPr="00F276E7">
        <w:rPr>
          <w:i/>
          <w:iCs/>
          <w:color w:val="222222"/>
          <w:sz w:val="22"/>
          <w:szCs w:val="22"/>
          <w:shd w:val="clear" w:color="auto" w:fill="FFFFFF"/>
        </w:rPr>
        <w:t>Vaccine</w:t>
      </w:r>
      <w:r w:rsidRPr="00F276E7">
        <w:rPr>
          <w:color w:val="222222"/>
          <w:sz w:val="22"/>
          <w:szCs w:val="22"/>
          <w:shd w:val="clear" w:color="auto" w:fill="FFFFFF"/>
        </w:rPr>
        <w:t>, 36(48)</w:t>
      </w:r>
      <w:r w:rsidR="00C55A18" w:rsidRPr="00F276E7">
        <w:rPr>
          <w:color w:val="222222"/>
          <w:sz w:val="22"/>
          <w:szCs w:val="22"/>
          <w:shd w:val="clear" w:color="auto" w:fill="FFFFFF"/>
        </w:rPr>
        <w:t>:</w:t>
      </w:r>
      <w:r w:rsidRPr="00F276E7">
        <w:rPr>
          <w:color w:val="222222"/>
          <w:sz w:val="22"/>
          <w:szCs w:val="22"/>
          <w:shd w:val="clear" w:color="auto" w:fill="FFFFFF"/>
        </w:rPr>
        <w:t xml:space="preserve"> 7377-7384.</w:t>
      </w:r>
      <w:r w:rsidRPr="00F276E7">
        <w:rPr>
          <w:sz w:val="22"/>
          <w:szCs w:val="22"/>
        </w:rPr>
        <w:t xml:space="preserve"> </w:t>
      </w:r>
    </w:p>
    <w:p w14:paraId="1470CEC9" w14:textId="77777777" w:rsidR="00EE5FD0" w:rsidRPr="00F276E7" w:rsidRDefault="00952ABC" w:rsidP="00F276E7">
      <w:pPr>
        <w:widowControl w:val="0"/>
        <w:snapToGrid w:val="0"/>
        <w:spacing w:line="480" w:lineRule="auto"/>
        <w:ind w:left="360" w:hanging="360"/>
        <w:rPr>
          <w:sz w:val="22"/>
          <w:szCs w:val="22"/>
        </w:rPr>
      </w:pPr>
      <w:r w:rsidRPr="00F276E7">
        <w:rPr>
          <w:sz w:val="22"/>
          <w:szCs w:val="22"/>
        </w:rPr>
        <w:t xml:space="preserve">Australian Bureau of Statistics. 2000. Motor Vehicle Registrations, Australia. Source: </w:t>
      </w:r>
    </w:p>
    <w:p w14:paraId="1599B667" w14:textId="5487B40E" w:rsidR="00952ABC" w:rsidRPr="00F276E7" w:rsidRDefault="00000000" w:rsidP="00F276E7">
      <w:pPr>
        <w:widowControl w:val="0"/>
        <w:snapToGrid w:val="0"/>
        <w:spacing w:line="480" w:lineRule="auto"/>
        <w:ind w:left="360"/>
        <w:rPr>
          <w:sz w:val="22"/>
          <w:szCs w:val="22"/>
        </w:rPr>
      </w:pPr>
      <w:hyperlink r:id="rId10" w:history="1">
        <w:r w:rsidR="00EE5FD0" w:rsidRPr="00F276E7">
          <w:rPr>
            <w:rStyle w:val="Hyperlink"/>
            <w:sz w:val="22"/>
            <w:szCs w:val="22"/>
          </w:rPr>
          <w:t>https://www.abs.gov.au/AUSSTATS/abs@.nsf/Previousproducts/8111.0Feature%20Article12009</w:t>
        </w:r>
      </w:hyperlink>
      <w:r w:rsidR="00EE5FD0" w:rsidRPr="00F276E7">
        <w:rPr>
          <w:sz w:val="22"/>
          <w:szCs w:val="22"/>
        </w:rPr>
        <w:t xml:space="preserve"> </w:t>
      </w:r>
    </w:p>
    <w:p w14:paraId="43474236" w14:textId="6F5A3969" w:rsidR="00820190" w:rsidRPr="00F276E7" w:rsidRDefault="00820190" w:rsidP="00F276E7">
      <w:pPr>
        <w:widowControl w:val="0"/>
        <w:snapToGrid w:val="0"/>
        <w:spacing w:line="480" w:lineRule="auto"/>
        <w:ind w:left="360" w:hanging="360"/>
        <w:rPr>
          <w:sz w:val="22"/>
          <w:szCs w:val="22"/>
        </w:rPr>
      </w:pPr>
      <w:r w:rsidRPr="00F276E7">
        <w:rPr>
          <w:sz w:val="22"/>
          <w:szCs w:val="22"/>
        </w:rPr>
        <w:t xml:space="preserve">Bae, Y-K, </w:t>
      </w:r>
      <w:r w:rsidR="00C55A18" w:rsidRPr="00F276E7">
        <w:rPr>
          <w:sz w:val="22"/>
          <w:szCs w:val="22"/>
        </w:rPr>
        <w:t xml:space="preserve">&amp; </w:t>
      </w:r>
      <w:r w:rsidRPr="00F276E7">
        <w:rPr>
          <w:sz w:val="22"/>
          <w:szCs w:val="22"/>
        </w:rPr>
        <w:t>Benitez-Silva</w:t>
      </w:r>
      <w:r w:rsidR="00C55A18" w:rsidRPr="00F276E7">
        <w:rPr>
          <w:sz w:val="22"/>
          <w:szCs w:val="22"/>
        </w:rPr>
        <w:t>, H.</w:t>
      </w:r>
      <w:r w:rsidRPr="00F276E7">
        <w:rPr>
          <w:sz w:val="22"/>
          <w:szCs w:val="22"/>
        </w:rPr>
        <w:t xml:space="preserve"> 2010</w:t>
      </w:r>
      <w:r w:rsidR="00C55A18" w:rsidRPr="00F276E7">
        <w:rPr>
          <w:sz w:val="22"/>
          <w:szCs w:val="22"/>
        </w:rPr>
        <w:t>.</w:t>
      </w:r>
      <w:r w:rsidRPr="00F276E7">
        <w:rPr>
          <w:sz w:val="22"/>
          <w:szCs w:val="22"/>
        </w:rPr>
        <w:t xml:space="preserve"> The Effects of Automobile Recalls on the Severity of Accidents</w:t>
      </w:r>
      <w:r w:rsidR="00C55A18" w:rsidRPr="00F276E7">
        <w:rPr>
          <w:sz w:val="22"/>
          <w:szCs w:val="22"/>
        </w:rPr>
        <w:t>.</w:t>
      </w:r>
      <w:r w:rsidRPr="00F276E7">
        <w:rPr>
          <w:sz w:val="22"/>
          <w:szCs w:val="22"/>
        </w:rPr>
        <w:t xml:space="preserve"> </w:t>
      </w:r>
      <w:r w:rsidRPr="00F276E7">
        <w:rPr>
          <w:i/>
          <w:sz w:val="22"/>
          <w:szCs w:val="22"/>
        </w:rPr>
        <w:t>Economic Inquiry</w:t>
      </w:r>
      <w:r w:rsidRPr="00F276E7">
        <w:rPr>
          <w:sz w:val="22"/>
          <w:szCs w:val="22"/>
        </w:rPr>
        <w:t>, 51(2)</w:t>
      </w:r>
      <w:r w:rsidR="00C55A18" w:rsidRPr="00F276E7">
        <w:rPr>
          <w:sz w:val="22"/>
          <w:szCs w:val="22"/>
        </w:rPr>
        <w:t>:</w:t>
      </w:r>
      <w:r w:rsidRPr="00F276E7">
        <w:rPr>
          <w:sz w:val="22"/>
          <w:szCs w:val="22"/>
        </w:rPr>
        <w:t xml:space="preserve"> 1232-</w:t>
      </w:r>
      <w:r w:rsidR="00036753" w:rsidRPr="00F276E7">
        <w:rPr>
          <w:sz w:val="22"/>
          <w:szCs w:val="22"/>
        </w:rPr>
        <w:t>1</w:t>
      </w:r>
      <w:r w:rsidRPr="00F276E7">
        <w:rPr>
          <w:sz w:val="22"/>
          <w:szCs w:val="22"/>
        </w:rPr>
        <w:t>250.</w:t>
      </w:r>
    </w:p>
    <w:p w14:paraId="00644EFF" w14:textId="38B0328E" w:rsidR="000D63CB" w:rsidRPr="00F276E7" w:rsidRDefault="000D63CB" w:rsidP="00F276E7">
      <w:pPr>
        <w:widowControl w:val="0"/>
        <w:snapToGrid w:val="0"/>
        <w:spacing w:line="480" w:lineRule="auto"/>
        <w:ind w:left="360" w:hanging="360"/>
        <w:rPr>
          <w:sz w:val="22"/>
          <w:szCs w:val="22"/>
        </w:rPr>
      </w:pPr>
      <w:r w:rsidRPr="00F276E7">
        <w:rPr>
          <w:sz w:val="22"/>
          <w:szCs w:val="22"/>
        </w:rPr>
        <w:t>Bapuji,</w:t>
      </w:r>
      <w:r w:rsidR="00C1098A" w:rsidRPr="00F276E7">
        <w:rPr>
          <w:sz w:val="22"/>
          <w:szCs w:val="22"/>
        </w:rPr>
        <w:t xml:space="preserve"> H</w:t>
      </w:r>
      <w:r w:rsidR="00C55A18" w:rsidRPr="00F276E7">
        <w:rPr>
          <w:sz w:val="22"/>
          <w:szCs w:val="22"/>
        </w:rPr>
        <w:t>.</w:t>
      </w:r>
      <w:r w:rsidRPr="00F276E7">
        <w:rPr>
          <w:sz w:val="22"/>
          <w:szCs w:val="22"/>
        </w:rPr>
        <w:t xml:space="preserve"> 2011</w:t>
      </w:r>
      <w:r w:rsidR="00C55A18" w:rsidRPr="00F276E7">
        <w:rPr>
          <w:sz w:val="22"/>
          <w:szCs w:val="22"/>
        </w:rPr>
        <w:t>.</w:t>
      </w:r>
      <w:r w:rsidRPr="00F276E7">
        <w:rPr>
          <w:sz w:val="22"/>
          <w:szCs w:val="22"/>
        </w:rPr>
        <w:t xml:space="preserve"> </w:t>
      </w:r>
      <w:r w:rsidR="003D3D1C" w:rsidRPr="00F276E7">
        <w:rPr>
          <w:i/>
          <w:sz w:val="22"/>
          <w:szCs w:val="22"/>
        </w:rPr>
        <w:t>Not Just China: The Rise of Recalls in the Age of Global Business</w:t>
      </w:r>
      <w:r w:rsidR="008627AE" w:rsidRPr="00F276E7">
        <w:rPr>
          <w:sz w:val="22"/>
          <w:szCs w:val="22"/>
        </w:rPr>
        <w:t>.  New York:</w:t>
      </w:r>
      <w:r w:rsidRPr="00F276E7">
        <w:rPr>
          <w:sz w:val="22"/>
          <w:szCs w:val="22"/>
        </w:rPr>
        <w:t xml:space="preserve"> Palgrave Macmillan.</w:t>
      </w:r>
    </w:p>
    <w:p w14:paraId="6F5DDE48" w14:textId="57804878" w:rsidR="00237CD7" w:rsidRPr="00F276E7" w:rsidRDefault="00237CD7" w:rsidP="00F276E7">
      <w:pPr>
        <w:widowControl w:val="0"/>
        <w:snapToGrid w:val="0"/>
        <w:spacing w:line="480" w:lineRule="auto"/>
        <w:ind w:left="360" w:hanging="360"/>
        <w:rPr>
          <w:sz w:val="22"/>
          <w:szCs w:val="22"/>
        </w:rPr>
      </w:pPr>
      <w:r w:rsidRPr="00F276E7">
        <w:rPr>
          <w:color w:val="222222"/>
          <w:sz w:val="22"/>
          <w:szCs w:val="22"/>
          <w:shd w:val="clear" w:color="auto" w:fill="FFFFFF"/>
        </w:rPr>
        <w:t>Bapuji, H., &amp; Beamish, P. W. 2019. Impacting practice through IB scholarship: Toy recalls and the product safety crisis. </w:t>
      </w:r>
      <w:r w:rsidRPr="00F276E7">
        <w:rPr>
          <w:i/>
          <w:iCs/>
          <w:color w:val="222222"/>
          <w:sz w:val="22"/>
          <w:szCs w:val="22"/>
          <w:shd w:val="clear" w:color="auto" w:fill="FFFFFF"/>
        </w:rPr>
        <w:t>Journal of International Business Studies</w:t>
      </w:r>
      <w:r w:rsidRPr="00F276E7">
        <w:rPr>
          <w:color w:val="222222"/>
          <w:sz w:val="22"/>
          <w:szCs w:val="22"/>
          <w:shd w:val="clear" w:color="auto" w:fill="FFFFFF"/>
        </w:rPr>
        <w:t>, 50(9)</w:t>
      </w:r>
      <w:r w:rsidR="00C55A18" w:rsidRPr="00F276E7">
        <w:rPr>
          <w:color w:val="222222"/>
          <w:sz w:val="22"/>
          <w:szCs w:val="22"/>
          <w:shd w:val="clear" w:color="auto" w:fill="FFFFFF"/>
        </w:rPr>
        <w:t>:</w:t>
      </w:r>
      <w:r w:rsidRPr="00F276E7">
        <w:rPr>
          <w:color w:val="222222"/>
          <w:sz w:val="22"/>
          <w:szCs w:val="22"/>
          <w:shd w:val="clear" w:color="auto" w:fill="FFFFFF"/>
        </w:rPr>
        <w:t xml:space="preserve"> 1636-1643.</w:t>
      </w:r>
    </w:p>
    <w:p w14:paraId="123287C6" w14:textId="51411817" w:rsidR="009D5335" w:rsidRPr="00F276E7" w:rsidRDefault="009D5335" w:rsidP="00F276E7">
      <w:pPr>
        <w:widowControl w:val="0"/>
        <w:snapToGrid w:val="0"/>
        <w:spacing w:line="480" w:lineRule="auto"/>
        <w:ind w:left="360" w:hanging="360"/>
        <w:rPr>
          <w:sz w:val="22"/>
          <w:szCs w:val="22"/>
        </w:rPr>
      </w:pPr>
      <w:r w:rsidRPr="00F276E7">
        <w:rPr>
          <w:sz w:val="22"/>
          <w:szCs w:val="22"/>
        </w:rPr>
        <w:t>Basu, T</w:t>
      </w:r>
      <w:r w:rsidR="00C55A18" w:rsidRPr="00F276E7">
        <w:rPr>
          <w:sz w:val="22"/>
          <w:szCs w:val="22"/>
        </w:rPr>
        <w:t xml:space="preserve">. </w:t>
      </w:r>
      <w:r w:rsidRPr="00F276E7">
        <w:rPr>
          <w:sz w:val="22"/>
          <w:szCs w:val="22"/>
        </w:rPr>
        <w:t>(2014)</w:t>
      </w:r>
      <w:r w:rsidR="00C55A18" w:rsidRPr="00F276E7">
        <w:rPr>
          <w:sz w:val="22"/>
          <w:szCs w:val="22"/>
        </w:rPr>
        <w:t>.</w:t>
      </w:r>
      <w:r w:rsidRPr="00F276E7">
        <w:rPr>
          <w:sz w:val="22"/>
          <w:szCs w:val="22"/>
        </w:rPr>
        <w:t xml:space="preserve"> Timeline: A History of GM’s Ignition Switch Defect,” NPR (March 31)</w:t>
      </w:r>
      <w:r w:rsidR="00C55A18" w:rsidRPr="00F276E7">
        <w:rPr>
          <w:sz w:val="22"/>
          <w:szCs w:val="22"/>
        </w:rPr>
        <w:t>.</w:t>
      </w:r>
      <w:r w:rsidRPr="00F276E7">
        <w:rPr>
          <w:sz w:val="22"/>
          <w:szCs w:val="22"/>
        </w:rPr>
        <w:t xml:space="preserve"> https://www.npr.org/2014/03/31/297158876/timeline-a-history-of-gms-ignition-switch-defect </w:t>
      </w:r>
    </w:p>
    <w:p w14:paraId="4B4E7D16" w14:textId="22E3DA2B" w:rsidR="005D340F" w:rsidRPr="00F276E7" w:rsidRDefault="005D340F" w:rsidP="00F276E7">
      <w:pPr>
        <w:widowControl w:val="0"/>
        <w:snapToGrid w:val="0"/>
        <w:spacing w:line="480" w:lineRule="auto"/>
        <w:ind w:left="360" w:hanging="360"/>
        <w:rPr>
          <w:color w:val="222222"/>
          <w:sz w:val="22"/>
          <w:szCs w:val="22"/>
          <w:shd w:val="clear" w:color="auto" w:fill="FFFFFF"/>
        </w:rPr>
      </w:pPr>
      <w:r w:rsidRPr="00F276E7">
        <w:rPr>
          <w:color w:val="222222"/>
          <w:sz w:val="22"/>
          <w:szCs w:val="22"/>
          <w:shd w:val="clear" w:color="auto" w:fill="FFFFFF"/>
        </w:rPr>
        <w:t>Blum, J. D., &amp; Talib, N. 2006. Balancing individual rights versus collective good in public health enforcement. </w:t>
      </w:r>
      <w:r w:rsidRPr="00F276E7">
        <w:rPr>
          <w:i/>
          <w:iCs/>
          <w:color w:val="222222"/>
          <w:sz w:val="22"/>
          <w:szCs w:val="22"/>
          <w:shd w:val="clear" w:color="auto" w:fill="FFFFFF"/>
        </w:rPr>
        <w:t>Med. &amp; L.</w:t>
      </w:r>
      <w:r w:rsidRPr="00F276E7">
        <w:rPr>
          <w:color w:val="222222"/>
          <w:sz w:val="22"/>
          <w:szCs w:val="22"/>
          <w:shd w:val="clear" w:color="auto" w:fill="FFFFFF"/>
        </w:rPr>
        <w:t>, </w:t>
      </w:r>
      <w:r w:rsidRPr="00F276E7">
        <w:rPr>
          <w:i/>
          <w:iCs/>
          <w:color w:val="222222"/>
          <w:sz w:val="22"/>
          <w:szCs w:val="22"/>
          <w:shd w:val="clear" w:color="auto" w:fill="FFFFFF"/>
        </w:rPr>
        <w:t>25</w:t>
      </w:r>
      <w:r w:rsidR="00C55A18" w:rsidRPr="00F276E7">
        <w:rPr>
          <w:color w:val="222222"/>
          <w:sz w:val="22"/>
          <w:szCs w:val="22"/>
          <w:shd w:val="clear" w:color="auto" w:fill="FFFFFF"/>
        </w:rPr>
        <w:t>:</w:t>
      </w:r>
      <w:r w:rsidRPr="00F276E7">
        <w:rPr>
          <w:color w:val="222222"/>
          <w:sz w:val="22"/>
          <w:szCs w:val="22"/>
          <w:shd w:val="clear" w:color="auto" w:fill="FFFFFF"/>
        </w:rPr>
        <w:t xml:space="preserve"> 273.</w:t>
      </w:r>
    </w:p>
    <w:p w14:paraId="2E77FB60" w14:textId="61B27B99" w:rsidR="00D92A77" w:rsidRPr="00F276E7" w:rsidRDefault="00D92A77" w:rsidP="00F276E7">
      <w:pPr>
        <w:widowControl w:val="0"/>
        <w:snapToGrid w:val="0"/>
        <w:spacing w:line="480" w:lineRule="auto"/>
        <w:ind w:left="360" w:hanging="360"/>
        <w:rPr>
          <w:sz w:val="22"/>
          <w:szCs w:val="22"/>
          <w:lang w:val="en-CA"/>
        </w:rPr>
      </w:pPr>
      <w:r w:rsidRPr="00F276E7">
        <w:rPr>
          <w:sz w:val="22"/>
          <w:szCs w:val="22"/>
          <w:lang w:val="en-US"/>
        </w:rPr>
        <w:t xml:space="preserve">Buckley, P. J., Doh, J. P., &amp; </w:t>
      </w:r>
      <w:proofErr w:type="spellStart"/>
      <w:r w:rsidRPr="00F276E7">
        <w:rPr>
          <w:sz w:val="22"/>
          <w:szCs w:val="22"/>
          <w:lang w:val="en-US"/>
        </w:rPr>
        <w:t>Benischke</w:t>
      </w:r>
      <w:proofErr w:type="spellEnd"/>
      <w:r w:rsidRPr="00F276E7">
        <w:rPr>
          <w:sz w:val="22"/>
          <w:szCs w:val="22"/>
          <w:lang w:val="en-US"/>
        </w:rPr>
        <w:t xml:space="preserve">, M. H. (2017). Towards a renaissance in international business research? Big questions, grand challenges, and the future of IB scholarship. </w:t>
      </w:r>
      <w:r w:rsidRPr="00F276E7">
        <w:rPr>
          <w:i/>
          <w:iCs/>
          <w:sz w:val="22"/>
          <w:szCs w:val="22"/>
          <w:lang w:val="en-US"/>
        </w:rPr>
        <w:t>Journal of International Business Studies</w:t>
      </w:r>
      <w:r w:rsidRPr="00F276E7">
        <w:rPr>
          <w:sz w:val="22"/>
          <w:szCs w:val="22"/>
          <w:lang w:val="en-US"/>
        </w:rPr>
        <w:t xml:space="preserve">, </w:t>
      </w:r>
      <w:r w:rsidRPr="00F276E7">
        <w:rPr>
          <w:i/>
          <w:iCs/>
          <w:sz w:val="22"/>
          <w:szCs w:val="22"/>
          <w:lang w:val="en-US"/>
        </w:rPr>
        <w:t>48</w:t>
      </w:r>
      <w:r w:rsidRPr="00F276E7">
        <w:rPr>
          <w:sz w:val="22"/>
          <w:szCs w:val="22"/>
          <w:lang w:val="en-US"/>
        </w:rPr>
        <w:t>, 1045-1064.</w:t>
      </w:r>
    </w:p>
    <w:p w14:paraId="6BAD87AE" w14:textId="3FF05F6C" w:rsidR="00822F2F" w:rsidRPr="00F276E7" w:rsidRDefault="00822F2F" w:rsidP="00F276E7">
      <w:pPr>
        <w:widowControl w:val="0"/>
        <w:snapToGrid w:val="0"/>
        <w:spacing w:line="480" w:lineRule="auto"/>
        <w:ind w:left="360" w:hanging="360"/>
        <w:rPr>
          <w:sz w:val="22"/>
          <w:szCs w:val="22"/>
        </w:rPr>
      </w:pPr>
      <w:r w:rsidRPr="00F276E7">
        <w:rPr>
          <w:sz w:val="22"/>
          <w:szCs w:val="22"/>
          <w:lang w:val="en-CA"/>
        </w:rPr>
        <w:t>Burrows, D</w:t>
      </w:r>
      <w:r w:rsidR="00C55A18" w:rsidRPr="00F276E7">
        <w:rPr>
          <w:sz w:val="22"/>
          <w:szCs w:val="22"/>
          <w:lang w:val="en-CA"/>
        </w:rPr>
        <w:t>.</w:t>
      </w:r>
      <w:r w:rsidRPr="00F276E7">
        <w:rPr>
          <w:sz w:val="22"/>
          <w:szCs w:val="22"/>
          <w:lang w:val="en-CA"/>
        </w:rPr>
        <w:t xml:space="preserve"> 2018</w:t>
      </w:r>
      <w:r w:rsidR="00C55A18" w:rsidRPr="00F276E7">
        <w:rPr>
          <w:sz w:val="22"/>
          <w:szCs w:val="22"/>
          <w:lang w:val="en-CA"/>
        </w:rPr>
        <w:t>.</w:t>
      </w:r>
      <w:r w:rsidRPr="00F276E7">
        <w:rPr>
          <w:sz w:val="22"/>
          <w:szCs w:val="22"/>
          <w:lang w:val="en-CA"/>
        </w:rPr>
        <w:t xml:space="preserve"> 10 Biggest Product Recalls of All Time</w:t>
      </w:r>
      <w:r w:rsidR="00C55A18" w:rsidRPr="00F276E7">
        <w:rPr>
          <w:sz w:val="22"/>
          <w:szCs w:val="22"/>
          <w:lang w:val="en-CA"/>
        </w:rPr>
        <w:t xml:space="preserve">. </w:t>
      </w:r>
      <w:r w:rsidRPr="00F276E7">
        <w:rPr>
          <w:i/>
          <w:sz w:val="22"/>
          <w:szCs w:val="22"/>
          <w:lang w:val="en-CA"/>
        </w:rPr>
        <w:t xml:space="preserve">Kiplinger </w:t>
      </w:r>
      <w:r w:rsidRPr="00F276E7">
        <w:rPr>
          <w:sz w:val="22"/>
          <w:szCs w:val="22"/>
          <w:lang w:val="en-CA"/>
        </w:rPr>
        <w:t xml:space="preserve">(March 26), </w:t>
      </w:r>
      <w:hyperlink r:id="rId11" w:history="1">
        <w:r w:rsidRPr="00F276E7">
          <w:rPr>
            <w:rStyle w:val="Hyperlink"/>
            <w:sz w:val="22"/>
            <w:szCs w:val="22"/>
          </w:rPr>
          <w:t>https://www.kiplinger.com/slideshow/investing/T052-S000-10-biggest-product-recalls-of-all-time/index.html</w:t>
        </w:r>
      </w:hyperlink>
      <w:r w:rsidRPr="00F276E7">
        <w:rPr>
          <w:sz w:val="22"/>
          <w:szCs w:val="22"/>
        </w:rPr>
        <w:t>.</w:t>
      </w:r>
    </w:p>
    <w:p w14:paraId="2A6D4406" w14:textId="620E2078" w:rsidR="00590FF2" w:rsidRPr="00F276E7" w:rsidRDefault="00590FF2" w:rsidP="00F276E7">
      <w:pPr>
        <w:widowControl w:val="0"/>
        <w:snapToGrid w:val="0"/>
        <w:spacing w:line="480" w:lineRule="auto"/>
        <w:ind w:left="360" w:hanging="360"/>
        <w:rPr>
          <w:sz w:val="22"/>
          <w:szCs w:val="22"/>
          <w:lang w:val="en-CA"/>
        </w:rPr>
      </w:pPr>
      <w:bookmarkStart w:id="10" w:name="_Hlk153909827"/>
      <w:r w:rsidRPr="00F276E7">
        <w:rPr>
          <w:sz w:val="22"/>
          <w:szCs w:val="22"/>
        </w:rPr>
        <w:t xml:space="preserve">Carlsen, A., &amp; Chinoy, S. 2019. How to Buy a Gun in 16 Countries. </w:t>
      </w:r>
      <w:r w:rsidRPr="00F276E7">
        <w:rPr>
          <w:i/>
          <w:iCs/>
          <w:sz w:val="22"/>
          <w:szCs w:val="22"/>
        </w:rPr>
        <w:t>The New York Times</w:t>
      </w:r>
      <w:r w:rsidRPr="00F276E7">
        <w:rPr>
          <w:sz w:val="22"/>
          <w:szCs w:val="22"/>
        </w:rPr>
        <w:t xml:space="preserve">, August 6, 2019. </w:t>
      </w:r>
    </w:p>
    <w:bookmarkEnd w:id="10"/>
    <w:p w14:paraId="59F256AE" w14:textId="64BE3092" w:rsidR="00017805" w:rsidRPr="00F276E7" w:rsidRDefault="00017805" w:rsidP="00F276E7">
      <w:pPr>
        <w:widowControl w:val="0"/>
        <w:snapToGrid w:val="0"/>
        <w:spacing w:line="480" w:lineRule="auto"/>
        <w:ind w:left="360" w:hanging="360"/>
        <w:rPr>
          <w:sz w:val="22"/>
          <w:szCs w:val="22"/>
        </w:rPr>
      </w:pPr>
      <w:r w:rsidRPr="00F276E7">
        <w:rPr>
          <w:sz w:val="22"/>
          <w:szCs w:val="22"/>
        </w:rPr>
        <w:t>Carroll</w:t>
      </w:r>
      <w:r w:rsidR="00E560B5" w:rsidRPr="00F276E7">
        <w:rPr>
          <w:sz w:val="22"/>
          <w:szCs w:val="22"/>
        </w:rPr>
        <w:t>, G</w:t>
      </w:r>
      <w:r w:rsidR="006B07F4" w:rsidRPr="00F276E7">
        <w:rPr>
          <w:sz w:val="22"/>
          <w:szCs w:val="22"/>
        </w:rPr>
        <w:t>.</w:t>
      </w:r>
      <w:r w:rsidR="00E560B5" w:rsidRPr="00F276E7">
        <w:rPr>
          <w:sz w:val="22"/>
          <w:szCs w:val="22"/>
        </w:rPr>
        <w:t xml:space="preserve"> </w:t>
      </w:r>
      <w:r w:rsidR="00C1098A" w:rsidRPr="00F276E7">
        <w:rPr>
          <w:sz w:val="22"/>
          <w:szCs w:val="22"/>
        </w:rPr>
        <w:t xml:space="preserve">R. </w:t>
      </w:r>
      <w:r w:rsidR="006B07F4" w:rsidRPr="00F276E7">
        <w:rPr>
          <w:sz w:val="22"/>
          <w:szCs w:val="22"/>
        </w:rPr>
        <w:t>&amp;</w:t>
      </w:r>
      <w:r w:rsidR="00C1098A" w:rsidRPr="00F276E7">
        <w:rPr>
          <w:sz w:val="22"/>
          <w:szCs w:val="22"/>
        </w:rPr>
        <w:t xml:space="preserve"> </w:t>
      </w:r>
      <w:r w:rsidRPr="00F276E7">
        <w:rPr>
          <w:sz w:val="22"/>
          <w:szCs w:val="22"/>
        </w:rPr>
        <w:t>Swaminathan</w:t>
      </w:r>
      <w:r w:rsidR="006B07F4" w:rsidRPr="00F276E7">
        <w:rPr>
          <w:sz w:val="22"/>
          <w:szCs w:val="22"/>
        </w:rPr>
        <w:t>, A.</w:t>
      </w:r>
      <w:r w:rsidR="008627AE" w:rsidRPr="00F276E7">
        <w:rPr>
          <w:sz w:val="22"/>
          <w:szCs w:val="22"/>
        </w:rPr>
        <w:t xml:space="preserve"> 2000</w:t>
      </w:r>
      <w:r w:rsidR="006B07F4" w:rsidRPr="00F276E7">
        <w:rPr>
          <w:sz w:val="22"/>
          <w:szCs w:val="22"/>
        </w:rPr>
        <w:t>.</w:t>
      </w:r>
      <w:r w:rsidR="00E560B5" w:rsidRPr="00F276E7">
        <w:rPr>
          <w:sz w:val="22"/>
          <w:szCs w:val="22"/>
        </w:rPr>
        <w:t xml:space="preserve"> </w:t>
      </w:r>
      <w:r w:rsidRPr="00F276E7">
        <w:rPr>
          <w:sz w:val="22"/>
          <w:szCs w:val="22"/>
        </w:rPr>
        <w:t>Why the Microbrewery Movement? Organizational Dynamics of Resource Partitioning in the U.S. Brewing Industry</w:t>
      </w:r>
      <w:r w:rsidR="006B07F4" w:rsidRPr="00F276E7">
        <w:rPr>
          <w:sz w:val="22"/>
          <w:szCs w:val="22"/>
        </w:rPr>
        <w:t>.</w:t>
      </w:r>
      <w:r w:rsidR="00E560B5" w:rsidRPr="00F276E7">
        <w:rPr>
          <w:sz w:val="22"/>
          <w:szCs w:val="22"/>
        </w:rPr>
        <w:t xml:space="preserve"> </w:t>
      </w:r>
      <w:r w:rsidRPr="00F276E7">
        <w:rPr>
          <w:i/>
          <w:sz w:val="22"/>
          <w:szCs w:val="22"/>
        </w:rPr>
        <w:t>Journal of Sociology</w:t>
      </w:r>
      <w:r w:rsidR="006E3707" w:rsidRPr="00F276E7">
        <w:rPr>
          <w:sz w:val="22"/>
          <w:szCs w:val="22"/>
        </w:rPr>
        <w:t>,</w:t>
      </w:r>
      <w:r w:rsidR="005C2F37" w:rsidRPr="00F276E7">
        <w:rPr>
          <w:sz w:val="22"/>
          <w:szCs w:val="22"/>
        </w:rPr>
        <w:t xml:space="preserve"> 106</w:t>
      </w:r>
      <w:r w:rsidR="00E560B5" w:rsidRPr="00F276E7">
        <w:rPr>
          <w:sz w:val="22"/>
          <w:szCs w:val="22"/>
        </w:rPr>
        <w:t xml:space="preserve"> </w:t>
      </w:r>
      <w:r w:rsidRPr="00F276E7">
        <w:rPr>
          <w:sz w:val="22"/>
          <w:szCs w:val="22"/>
        </w:rPr>
        <w:t>(3)</w:t>
      </w:r>
      <w:r w:rsidR="006B07F4" w:rsidRPr="00F276E7">
        <w:rPr>
          <w:sz w:val="22"/>
          <w:szCs w:val="22"/>
        </w:rPr>
        <w:t>:</w:t>
      </w:r>
      <w:r w:rsidRPr="00F276E7">
        <w:rPr>
          <w:sz w:val="22"/>
          <w:szCs w:val="22"/>
        </w:rPr>
        <w:t xml:space="preserve"> 715-</w:t>
      </w:r>
      <w:r w:rsidR="00036753" w:rsidRPr="00F276E7">
        <w:rPr>
          <w:sz w:val="22"/>
          <w:szCs w:val="22"/>
        </w:rPr>
        <w:t>7</w:t>
      </w:r>
      <w:r w:rsidRPr="00F276E7">
        <w:rPr>
          <w:sz w:val="22"/>
          <w:szCs w:val="22"/>
        </w:rPr>
        <w:t>62.</w:t>
      </w:r>
    </w:p>
    <w:p w14:paraId="36074228" w14:textId="715BAB0E" w:rsidR="00D51CD4" w:rsidRPr="00F276E7" w:rsidRDefault="00D51CD4" w:rsidP="00F276E7">
      <w:pPr>
        <w:widowControl w:val="0"/>
        <w:autoSpaceDE w:val="0"/>
        <w:autoSpaceDN w:val="0"/>
        <w:adjustRightInd w:val="0"/>
        <w:snapToGrid w:val="0"/>
        <w:spacing w:line="480" w:lineRule="auto"/>
        <w:ind w:left="360" w:hanging="360"/>
        <w:rPr>
          <w:sz w:val="22"/>
          <w:szCs w:val="22"/>
        </w:rPr>
      </w:pPr>
      <w:r w:rsidRPr="00F276E7">
        <w:rPr>
          <w:sz w:val="22"/>
          <w:szCs w:val="22"/>
        </w:rPr>
        <w:t xml:space="preserve">Cheah, </w:t>
      </w:r>
      <w:r w:rsidR="00811812" w:rsidRPr="00F276E7">
        <w:rPr>
          <w:sz w:val="22"/>
          <w:szCs w:val="22"/>
        </w:rPr>
        <w:t>E</w:t>
      </w:r>
      <w:r w:rsidR="006E3707" w:rsidRPr="00F276E7">
        <w:rPr>
          <w:sz w:val="22"/>
          <w:szCs w:val="22"/>
        </w:rPr>
        <w:t>.</w:t>
      </w:r>
      <w:r w:rsidR="00811812" w:rsidRPr="00F276E7">
        <w:rPr>
          <w:sz w:val="22"/>
          <w:szCs w:val="22"/>
        </w:rPr>
        <w:t xml:space="preserve"> T</w:t>
      </w:r>
      <w:r w:rsidR="006E3707" w:rsidRPr="00F276E7">
        <w:rPr>
          <w:sz w:val="22"/>
          <w:szCs w:val="22"/>
        </w:rPr>
        <w:t>.</w:t>
      </w:r>
      <w:r w:rsidR="00811812" w:rsidRPr="00F276E7">
        <w:rPr>
          <w:sz w:val="22"/>
          <w:szCs w:val="22"/>
        </w:rPr>
        <w:t>,</w:t>
      </w:r>
      <w:r w:rsidRPr="00F276E7">
        <w:rPr>
          <w:sz w:val="22"/>
          <w:szCs w:val="22"/>
        </w:rPr>
        <w:t xml:space="preserve"> </w:t>
      </w:r>
      <w:r w:rsidR="00811812" w:rsidRPr="00F276E7">
        <w:rPr>
          <w:sz w:val="22"/>
          <w:szCs w:val="22"/>
        </w:rPr>
        <w:t>Chan</w:t>
      </w:r>
      <w:r w:rsidRPr="00F276E7">
        <w:rPr>
          <w:sz w:val="22"/>
          <w:szCs w:val="22"/>
        </w:rPr>
        <w:t xml:space="preserve">, </w:t>
      </w:r>
      <w:r w:rsidR="006E3707" w:rsidRPr="00F276E7">
        <w:rPr>
          <w:sz w:val="22"/>
          <w:szCs w:val="22"/>
        </w:rPr>
        <w:t xml:space="preserve">W.L.,  Chieng, C. L. </w:t>
      </w:r>
      <w:r w:rsidR="00811812" w:rsidRPr="00F276E7">
        <w:rPr>
          <w:sz w:val="22"/>
          <w:szCs w:val="22"/>
        </w:rPr>
        <w:t>2007</w:t>
      </w:r>
      <w:r w:rsidR="006E3707" w:rsidRPr="00F276E7">
        <w:rPr>
          <w:sz w:val="22"/>
          <w:szCs w:val="22"/>
        </w:rPr>
        <w:t>.</w:t>
      </w:r>
      <w:r w:rsidRPr="00F276E7">
        <w:rPr>
          <w:sz w:val="22"/>
          <w:szCs w:val="22"/>
        </w:rPr>
        <w:t xml:space="preserve"> The corporate social responsibility of pharmaceutical recalls: An empirical e</w:t>
      </w:r>
      <w:r w:rsidR="00811812" w:rsidRPr="00F276E7">
        <w:rPr>
          <w:sz w:val="22"/>
          <w:szCs w:val="22"/>
        </w:rPr>
        <w:t>xamination of US and UK markets</w:t>
      </w:r>
      <w:r w:rsidR="006E3707" w:rsidRPr="00F276E7">
        <w:rPr>
          <w:sz w:val="22"/>
          <w:szCs w:val="22"/>
        </w:rPr>
        <w:t>.</w:t>
      </w:r>
      <w:r w:rsidRPr="00F276E7">
        <w:rPr>
          <w:sz w:val="22"/>
          <w:szCs w:val="22"/>
        </w:rPr>
        <w:t xml:space="preserve"> </w:t>
      </w:r>
      <w:r w:rsidR="008C51AA" w:rsidRPr="00F276E7">
        <w:rPr>
          <w:i/>
          <w:sz w:val="22"/>
          <w:szCs w:val="22"/>
        </w:rPr>
        <w:t>Journal of Business Ethics</w:t>
      </w:r>
      <w:r w:rsidRPr="00F276E7">
        <w:rPr>
          <w:sz w:val="22"/>
          <w:szCs w:val="22"/>
        </w:rPr>
        <w:t>, 76</w:t>
      </w:r>
      <w:r w:rsidR="006E3707" w:rsidRPr="00F276E7">
        <w:rPr>
          <w:sz w:val="22"/>
          <w:szCs w:val="22"/>
        </w:rPr>
        <w:t>(</w:t>
      </w:r>
      <w:r w:rsidR="00811812" w:rsidRPr="00F276E7">
        <w:rPr>
          <w:sz w:val="22"/>
          <w:szCs w:val="22"/>
        </w:rPr>
        <w:t>4)</w:t>
      </w:r>
      <w:r w:rsidR="006E3707" w:rsidRPr="00F276E7">
        <w:rPr>
          <w:sz w:val="22"/>
          <w:szCs w:val="22"/>
        </w:rPr>
        <w:t>:</w:t>
      </w:r>
      <w:r w:rsidRPr="00F276E7">
        <w:rPr>
          <w:sz w:val="22"/>
          <w:szCs w:val="22"/>
        </w:rPr>
        <w:t xml:space="preserve"> 427-</w:t>
      </w:r>
      <w:r w:rsidR="00036753" w:rsidRPr="00F276E7">
        <w:rPr>
          <w:sz w:val="22"/>
          <w:szCs w:val="22"/>
        </w:rPr>
        <w:t>4</w:t>
      </w:r>
      <w:r w:rsidRPr="00F276E7">
        <w:rPr>
          <w:sz w:val="22"/>
          <w:szCs w:val="22"/>
        </w:rPr>
        <w:t>49.</w:t>
      </w:r>
    </w:p>
    <w:p w14:paraId="4F81CBA0" w14:textId="013F3833" w:rsidR="00811ECE" w:rsidRPr="006324E2" w:rsidRDefault="00811ECE" w:rsidP="00F276E7">
      <w:pPr>
        <w:pStyle w:val="NormalWeb"/>
        <w:widowControl w:val="0"/>
        <w:snapToGrid w:val="0"/>
        <w:spacing w:before="0" w:beforeAutospacing="0" w:after="0" w:afterAutospacing="0" w:line="480" w:lineRule="auto"/>
        <w:ind w:left="360" w:hanging="360"/>
        <w:rPr>
          <w:sz w:val="22"/>
          <w:szCs w:val="22"/>
        </w:rPr>
      </w:pPr>
      <w:r w:rsidRPr="006324E2">
        <w:rPr>
          <w:sz w:val="22"/>
          <w:szCs w:val="22"/>
        </w:rPr>
        <w:t>Chen, Y</w:t>
      </w:r>
      <w:r w:rsidR="006E3707" w:rsidRPr="006324E2">
        <w:rPr>
          <w:sz w:val="22"/>
          <w:szCs w:val="22"/>
        </w:rPr>
        <w:t>.</w:t>
      </w:r>
      <w:r w:rsidR="005C2F37" w:rsidRPr="006324E2">
        <w:rPr>
          <w:sz w:val="22"/>
          <w:szCs w:val="22"/>
        </w:rPr>
        <w:t xml:space="preserve">, </w:t>
      </w:r>
      <w:r w:rsidRPr="006324E2">
        <w:rPr>
          <w:sz w:val="22"/>
          <w:szCs w:val="22"/>
        </w:rPr>
        <w:t>Ganesan,</w:t>
      </w:r>
      <w:r w:rsidR="00811812" w:rsidRPr="006324E2">
        <w:rPr>
          <w:sz w:val="22"/>
          <w:szCs w:val="22"/>
        </w:rPr>
        <w:t xml:space="preserve"> </w:t>
      </w:r>
      <w:r w:rsidR="006E3707" w:rsidRPr="006324E2">
        <w:rPr>
          <w:sz w:val="22"/>
          <w:szCs w:val="22"/>
        </w:rPr>
        <w:t xml:space="preserve">S. </w:t>
      </w:r>
      <w:r w:rsidR="009210C2" w:rsidRPr="006324E2">
        <w:rPr>
          <w:sz w:val="22"/>
          <w:szCs w:val="22"/>
        </w:rPr>
        <w:t xml:space="preserve">&amp; </w:t>
      </w:r>
      <w:r w:rsidR="00811812" w:rsidRPr="006324E2">
        <w:rPr>
          <w:sz w:val="22"/>
          <w:szCs w:val="22"/>
        </w:rPr>
        <w:t>Liu</w:t>
      </w:r>
      <w:r w:rsidR="006E3707" w:rsidRPr="006324E2">
        <w:rPr>
          <w:sz w:val="22"/>
          <w:szCs w:val="22"/>
        </w:rPr>
        <w:t>, Y.</w:t>
      </w:r>
      <w:r w:rsidR="005C2F37" w:rsidRPr="006324E2">
        <w:rPr>
          <w:sz w:val="22"/>
          <w:szCs w:val="22"/>
        </w:rPr>
        <w:t xml:space="preserve"> </w:t>
      </w:r>
      <w:r w:rsidR="00811812" w:rsidRPr="006324E2">
        <w:rPr>
          <w:sz w:val="22"/>
          <w:szCs w:val="22"/>
        </w:rPr>
        <w:t>2009</w:t>
      </w:r>
      <w:r w:rsidR="006E3707" w:rsidRPr="006324E2">
        <w:rPr>
          <w:sz w:val="22"/>
          <w:szCs w:val="22"/>
        </w:rPr>
        <w:t>.</w:t>
      </w:r>
      <w:r w:rsidR="005C2F37" w:rsidRPr="006324E2">
        <w:rPr>
          <w:sz w:val="22"/>
          <w:szCs w:val="22"/>
        </w:rPr>
        <w:t xml:space="preserve"> </w:t>
      </w:r>
      <w:r w:rsidRPr="006324E2">
        <w:rPr>
          <w:sz w:val="22"/>
          <w:szCs w:val="22"/>
        </w:rPr>
        <w:t>Does a Firm</w:t>
      </w:r>
      <w:r w:rsidR="00E345AB" w:rsidRPr="006324E2">
        <w:rPr>
          <w:sz w:val="22"/>
          <w:szCs w:val="22"/>
        </w:rPr>
        <w:t>’</w:t>
      </w:r>
      <w:r w:rsidRPr="006324E2">
        <w:rPr>
          <w:sz w:val="22"/>
          <w:szCs w:val="22"/>
        </w:rPr>
        <w:t xml:space="preserve">s Product-Recall Strategy Affect its Financial Value? </w:t>
      </w:r>
      <w:r w:rsidR="004C1521" w:rsidRPr="006324E2">
        <w:rPr>
          <w:sz w:val="22"/>
          <w:szCs w:val="22"/>
        </w:rPr>
        <w:t>A</w:t>
      </w:r>
      <w:r w:rsidRPr="006324E2">
        <w:rPr>
          <w:sz w:val="22"/>
          <w:szCs w:val="22"/>
        </w:rPr>
        <w:t>n Examination of Strategic Alternat</w:t>
      </w:r>
      <w:r w:rsidR="005C2F37" w:rsidRPr="006324E2">
        <w:rPr>
          <w:sz w:val="22"/>
          <w:szCs w:val="22"/>
        </w:rPr>
        <w:t>ives during Product-Harm Crises</w:t>
      </w:r>
      <w:r w:rsidR="006E3707" w:rsidRPr="006324E2">
        <w:rPr>
          <w:sz w:val="22"/>
          <w:szCs w:val="22"/>
        </w:rPr>
        <w:t>.</w:t>
      </w:r>
      <w:r w:rsidRPr="006324E2">
        <w:rPr>
          <w:sz w:val="22"/>
          <w:szCs w:val="22"/>
        </w:rPr>
        <w:t xml:space="preserve"> </w:t>
      </w:r>
      <w:r w:rsidRPr="006324E2">
        <w:rPr>
          <w:i/>
          <w:iCs/>
          <w:sz w:val="22"/>
          <w:szCs w:val="22"/>
        </w:rPr>
        <w:t xml:space="preserve">Journal of Marketing, </w:t>
      </w:r>
      <w:r w:rsidR="005C2F37" w:rsidRPr="006324E2">
        <w:rPr>
          <w:sz w:val="22"/>
          <w:szCs w:val="22"/>
        </w:rPr>
        <w:t>73</w:t>
      </w:r>
      <w:r w:rsidR="00811812" w:rsidRPr="006324E2">
        <w:rPr>
          <w:sz w:val="22"/>
          <w:szCs w:val="22"/>
        </w:rPr>
        <w:t>(11)</w:t>
      </w:r>
      <w:r w:rsidR="006E3707" w:rsidRPr="006324E2">
        <w:rPr>
          <w:sz w:val="22"/>
          <w:szCs w:val="22"/>
        </w:rPr>
        <w:t>:</w:t>
      </w:r>
      <w:r w:rsidRPr="006324E2">
        <w:rPr>
          <w:sz w:val="22"/>
          <w:szCs w:val="22"/>
        </w:rPr>
        <w:t xml:space="preserve"> 214-</w:t>
      </w:r>
      <w:r w:rsidR="00036753" w:rsidRPr="006324E2">
        <w:rPr>
          <w:sz w:val="22"/>
          <w:szCs w:val="22"/>
        </w:rPr>
        <w:t>2</w:t>
      </w:r>
      <w:r w:rsidRPr="006324E2">
        <w:rPr>
          <w:sz w:val="22"/>
          <w:szCs w:val="22"/>
        </w:rPr>
        <w:t>26.</w:t>
      </w:r>
    </w:p>
    <w:p w14:paraId="655C5842" w14:textId="7D85634B" w:rsidR="00074A3D" w:rsidRPr="006324E2" w:rsidRDefault="00074A3D" w:rsidP="00F276E7">
      <w:pPr>
        <w:pStyle w:val="NormalWeb"/>
        <w:widowControl w:val="0"/>
        <w:snapToGrid w:val="0"/>
        <w:spacing w:before="0" w:beforeAutospacing="0" w:after="0" w:afterAutospacing="0" w:line="480" w:lineRule="auto"/>
        <w:ind w:left="360" w:hanging="360"/>
        <w:rPr>
          <w:sz w:val="22"/>
          <w:szCs w:val="22"/>
        </w:rPr>
      </w:pPr>
      <w:r w:rsidRPr="006324E2">
        <w:rPr>
          <w:sz w:val="22"/>
          <w:szCs w:val="22"/>
        </w:rPr>
        <w:t>Clark, K</w:t>
      </w:r>
      <w:r w:rsidR="006E3707" w:rsidRPr="006324E2">
        <w:rPr>
          <w:sz w:val="22"/>
          <w:szCs w:val="22"/>
        </w:rPr>
        <w:t>.</w:t>
      </w:r>
      <w:r w:rsidR="00811812" w:rsidRPr="006324E2">
        <w:rPr>
          <w:sz w:val="22"/>
          <w:szCs w:val="22"/>
        </w:rPr>
        <w:t xml:space="preserve"> </w:t>
      </w:r>
      <w:r w:rsidRPr="006324E2">
        <w:rPr>
          <w:sz w:val="22"/>
          <w:szCs w:val="22"/>
        </w:rPr>
        <w:t xml:space="preserve">B., </w:t>
      </w:r>
      <w:r w:rsidR="006E44CB" w:rsidRPr="006324E2">
        <w:rPr>
          <w:sz w:val="22"/>
          <w:szCs w:val="22"/>
        </w:rPr>
        <w:t>Chew</w:t>
      </w:r>
      <w:r w:rsidRPr="006324E2">
        <w:rPr>
          <w:sz w:val="22"/>
          <w:szCs w:val="22"/>
        </w:rPr>
        <w:t xml:space="preserve">, </w:t>
      </w:r>
      <w:r w:rsidR="006E3707" w:rsidRPr="006324E2">
        <w:rPr>
          <w:sz w:val="22"/>
          <w:szCs w:val="22"/>
        </w:rPr>
        <w:t xml:space="preserve">W. B., </w:t>
      </w:r>
      <w:r w:rsidR="006E44CB" w:rsidRPr="006324E2">
        <w:rPr>
          <w:sz w:val="22"/>
          <w:szCs w:val="22"/>
        </w:rPr>
        <w:t>Fujimoto</w:t>
      </w:r>
      <w:r w:rsidRPr="006324E2">
        <w:rPr>
          <w:sz w:val="22"/>
          <w:szCs w:val="22"/>
        </w:rPr>
        <w:t xml:space="preserve">, </w:t>
      </w:r>
      <w:r w:rsidR="006E3707" w:rsidRPr="006324E2">
        <w:rPr>
          <w:sz w:val="22"/>
          <w:szCs w:val="22"/>
        </w:rPr>
        <w:t xml:space="preserve">T., </w:t>
      </w:r>
      <w:r w:rsidR="006E44CB" w:rsidRPr="006324E2">
        <w:rPr>
          <w:sz w:val="22"/>
          <w:szCs w:val="22"/>
        </w:rPr>
        <w:t>Meyer</w:t>
      </w:r>
      <w:r w:rsidRPr="006324E2">
        <w:rPr>
          <w:sz w:val="22"/>
          <w:szCs w:val="22"/>
        </w:rPr>
        <w:t xml:space="preserve">, </w:t>
      </w:r>
      <w:r w:rsidR="006E3707" w:rsidRPr="006324E2">
        <w:rPr>
          <w:sz w:val="22"/>
          <w:szCs w:val="22"/>
        </w:rPr>
        <w:t>J., &amp;</w:t>
      </w:r>
      <w:r w:rsidRPr="006324E2">
        <w:rPr>
          <w:sz w:val="22"/>
          <w:szCs w:val="22"/>
        </w:rPr>
        <w:t xml:space="preserve"> </w:t>
      </w:r>
      <w:r w:rsidR="006E44CB" w:rsidRPr="006324E2">
        <w:rPr>
          <w:sz w:val="22"/>
          <w:szCs w:val="22"/>
        </w:rPr>
        <w:t>Scherer</w:t>
      </w:r>
      <w:r w:rsidR="006E3707" w:rsidRPr="006324E2">
        <w:rPr>
          <w:sz w:val="22"/>
          <w:szCs w:val="22"/>
        </w:rPr>
        <w:t>, F. M.</w:t>
      </w:r>
      <w:r w:rsidRPr="006324E2">
        <w:rPr>
          <w:sz w:val="22"/>
          <w:szCs w:val="22"/>
        </w:rPr>
        <w:t xml:space="preserve"> 1987</w:t>
      </w:r>
      <w:r w:rsidR="006E3707" w:rsidRPr="006324E2">
        <w:rPr>
          <w:sz w:val="22"/>
          <w:szCs w:val="22"/>
        </w:rPr>
        <w:t>.</w:t>
      </w:r>
      <w:r w:rsidRPr="006324E2">
        <w:rPr>
          <w:sz w:val="22"/>
          <w:szCs w:val="22"/>
        </w:rPr>
        <w:t xml:space="preserve"> Product develop</w:t>
      </w:r>
      <w:r w:rsidR="006E44CB" w:rsidRPr="006324E2">
        <w:rPr>
          <w:sz w:val="22"/>
          <w:szCs w:val="22"/>
        </w:rPr>
        <w:t>ment in the world auto industry</w:t>
      </w:r>
      <w:r w:rsidR="006E3707" w:rsidRPr="006324E2">
        <w:rPr>
          <w:sz w:val="22"/>
          <w:szCs w:val="22"/>
        </w:rPr>
        <w:t>.</w:t>
      </w:r>
      <w:r w:rsidRPr="006324E2">
        <w:rPr>
          <w:sz w:val="22"/>
          <w:szCs w:val="22"/>
        </w:rPr>
        <w:t xml:space="preserve"> </w:t>
      </w:r>
      <w:r w:rsidRPr="006324E2">
        <w:rPr>
          <w:i/>
          <w:sz w:val="22"/>
          <w:szCs w:val="22"/>
        </w:rPr>
        <w:t>Brookings Papers on Economic Activity</w:t>
      </w:r>
      <w:r w:rsidRPr="006324E2">
        <w:rPr>
          <w:sz w:val="22"/>
          <w:szCs w:val="22"/>
        </w:rPr>
        <w:t>: 729-</w:t>
      </w:r>
      <w:r w:rsidR="00036753" w:rsidRPr="006324E2">
        <w:rPr>
          <w:sz w:val="22"/>
          <w:szCs w:val="22"/>
        </w:rPr>
        <w:t>7</w:t>
      </w:r>
      <w:r w:rsidRPr="006324E2">
        <w:rPr>
          <w:sz w:val="22"/>
          <w:szCs w:val="22"/>
        </w:rPr>
        <w:t>81.</w:t>
      </w:r>
    </w:p>
    <w:p w14:paraId="683F3A35" w14:textId="21B18269" w:rsidR="00097B34" w:rsidRPr="006324E2" w:rsidRDefault="00097B34" w:rsidP="00F276E7">
      <w:pPr>
        <w:pStyle w:val="NormalWeb"/>
        <w:widowControl w:val="0"/>
        <w:snapToGrid w:val="0"/>
        <w:spacing w:before="0" w:beforeAutospacing="0" w:after="0" w:afterAutospacing="0" w:line="480" w:lineRule="auto"/>
        <w:ind w:left="360" w:hanging="360"/>
        <w:rPr>
          <w:sz w:val="22"/>
          <w:szCs w:val="22"/>
        </w:rPr>
      </w:pPr>
      <w:r w:rsidRPr="006324E2">
        <w:rPr>
          <w:sz w:val="22"/>
          <w:szCs w:val="22"/>
        </w:rPr>
        <w:t>Clee, M</w:t>
      </w:r>
      <w:r w:rsidR="006E3707" w:rsidRPr="006324E2">
        <w:rPr>
          <w:sz w:val="22"/>
          <w:szCs w:val="22"/>
        </w:rPr>
        <w:t>.</w:t>
      </w:r>
      <w:r w:rsidRPr="006324E2">
        <w:rPr>
          <w:sz w:val="22"/>
          <w:szCs w:val="22"/>
        </w:rPr>
        <w:t xml:space="preserve"> A., </w:t>
      </w:r>
      <w:r w:rsidR="006E3707" w:rsidRPr="006324E2">
        <w:rPr>
          <w:sz w:val="22"/>
          <w:szCs w:val="22"/>
        </w:rPr>
        <w:t>&amp;</w:t>
      </w:r>
      <w:r w:rsidRPr="006324E2">
        <w:rPr>
          <w:sz w:val="22"/>
          <w:szCs w:val="22"/>
        </w:rPr>
        <w:t xml:space="preserve"> Wicklund</w:t>
      </w:r>
      <w:r w:rsidR="006E3707" w:rsidRPr="006324E2">
        <w:rPr>
          <w:sz w:val="22"/>
          <w:szCs w:val="22"/>
        </w:rPr>
        <w:t>, R. A.</w:t>
      </w:r>
      <w:r w:rsidRPr="006324E2">
        <w:rPr>
          <w:sz w:val="22"/>
          <w:szCs w:val="22"/>
        </w:rPr>
        <w:t xml:space="preserve"> 1980</w:t>
      </w:r>
      <w:r w:rsidR="006E3707" w:rsidRPr="006324E2">
        <w:rPr>
          <w:sz w:val="22"/>
          <w:szCs w:val="22"/>
        </w:rPr>
        <w:t>.</w:t>
      </w:r>
      <w:r w:rsidRPr="006324E2">
        <w:rPr>
          <w:sz w:val="22"/>
          <w:szCs w:val="22"/>
        </w:rPr>
        <w:t xml:space="preserve"> Consumer behavior and psychological reactance</w:t>
      </w:r>
      <w:r w:rsidR="006E3707" w:rsidRPr="006324E2">
        <w:rPr>
          <w:sz w:val="22"/>
          <w:szCs w:val="22"/>
        </w:rPr>
        <w:t>.</w:t>
      </w:r>
      <w:r w:rsidRPr="006324E2">
        <w:rPr>
          <w:sz w:val="22"/>
          <w:szCs w:val="22"/>
        </w:rPr>
        <w:t xml:space="preserve"> </w:t>
      </w:r>
      <w:r w:rsidRPr="006324E2">
        <w:rPr>
          <w:i/>
          <w:sz w:val="22"/>
          <w:szCs w:val="22"/>
        </w:rPr>
        <w:t>Journal of Consumer Research</w:t>
      </w:r>
      <w:r w:rsidRPr="006324E2">
        <w:rPr>
          <w:sz w:val="22"/>
          <w:szCs w:val="22"/>
        </w:rPr>
        <w:t>, 6(4)</w:t>
      </w:r>
      <w:r w:rsidR="006E3707" w:rsidRPr="006324E2">
        <w:rPr>
          <w:sz w:val="22"/>
          <w:szCs w:val="22"/>
        </w:rPr>
        <w:t>:</w:t>
      </w:r>
      <w:r w:rsidRPr="006324E2">
        <w:rPr>
          <w:sz w:val="22"/>
          <w:szCs w:val="22"/>
        </w:rPr>
        <w:t xml:space="preserve"> 389-405.</w:t>
      </w:r>
    </w:p>
    <w:p w14:paraId="2B593B27" w14:textId="7F9610FA" w:rsidR="004F7EF6" w:rsidRPr="006324E2" w:rsidRDefault="004F7EF6" w:rsidP="00F276E7">
      <w:pPr>
        <w:pStyle w:val="NormalWeb"/>
        <w:widowControl w:val="0"/>
        <w:snapToGrid w:val="0"/>
        <w:spacing w:before="0" w:beforeAutospacing="0" w:after="0" w:afterAutospacing="0" w:line="480" w:lineRule="auto"/>
        <w:ind w:left="360" w:hanging="360"/>
        <w:rPr>
          <w:sz w:val="22"/>
          <w:szCs w:val="22"/>
        </w:rPr>
      </w:pPr>
      <w:proofErr w:type="spellStart"/>
      <w:r w:rsidRPr="00F276E7">
        <w:rPr>
          <w:sz w:val="22"/>
          <w:szCs w:val="22"/>
        </w:rPr>
        <w:t>Cleeren</w:t>
      </w:r>
      <w:proofErr w:type="spellEnd"/>
      <w:r w:rsidRPr="00F276E7">
        <w:rPr>
          <w:sz w:val="22"/>
          <w:szCs w:val="22"/>
        </w:rPr>
        <w:t xml:space="preserve">, K., </w:t>
      </w:r>
      <w:proofErr w:type="spellStart"/>
      <w:r w:rsidRPr="00F276E7">
        <w:rPr>
          <w:sz w:val="22"/>
          <w:szCs w:val="22"/>
        </w:rPr>
        <w:t>Dekimpe</w:t>
      </w:r>
      <w:proofErr w:type="spellEnd"/>
      <w:r w:rsidRPr="00F276E7">
        <w:rPr>
          <w:sz w:val="22"/>
          <w:szCs w:val="22"/>
        </w:rPr>
        <w:t xml:space="preserve">, M. G., &amp; Van </w:t>
      </w:r>
      <w:proofErr w:type="spellStart"/>
      <w:r w:rsidRPr="00F276E7">
        <w:rPr>
          <w:sz w:val="22"/>
          <w:szCs w:val="22"/>
        </w:rPr>
        <w:t>Heerde</w:t>
      </w:r>
      <w:proofErr w:type="spellEnd"/>
      <w:r w:rsidRPr="00F276E7">
        <w:rPr>
          <w:sz w:val="22"/>
          <w:szCs w:val="22"/>
        </w:rPr>
        <w:t xml:space="preserve">, H. J. (2017). Marketing research on product-harm crises: a review, managerial implications, and an agenda for future research. </w:t>
      </w:r>
      <w:r w:rsidRPr="00F276E7">
        <w:rPr>
          <w:i/>
          <w:iCs/>
          <w:sz w:val="22"/>
          <w:szCs w:val="22"/>
        </w:rPr>
        <w:t>Journal of the Academy of Marketing Science</w:t>
      </w:r>
      <w:r w:rsidRPr="00F276E7">
        <w:rPr>
          <w:sz w:val="22"/>
          <w:szCs w:val="22"/>
        </w:rPr>
        <w:t xml:space="preserve">, </w:t>
      </w:r>
      <w:r w:rsidRPr="00F276E7">
        <w:rPr>
          <w:i/>
          <w:iCs/>
          <w:sz w:val="22"/>
          <w:szCs w:val="22"/>
        </w:rPr>
        <w:t>45</w:t>
      </w:r>
      <w:r w:rsidRPr="00F276E7">
        <w:rPr>
          <w:sz w:val="22"/>
          <w:szCs w:val="22"/>
        </w:rPr>
        <w:t>, 593-615.</w:t>
      </w:r>
    </w:p>
    <w:p w14:paraId="37EAC8D8" w14:textId="2EC47DFB" w:rsidR="00EE559E" w:rsidRPr="006324E2" w:rsidRDefault="00EE559E" w:rsidP="00F276E7">
      <w:pPr>
        <w:pStyle w:val="NormalWeb"/>
        <w:widowControl w:val="0"/>
        <w:snapToGrid w:val="0"/>
        <w:spacing w:before="0" w:beforeAutospacing="0" w:after="0" w:afterAutospacing="0" w:line="480" w:lineRule="auto"/>
        <w:ind w:left="360" w:hanging="360"/>
        <w:rPr>
          <w:sz w:val="22"/>
          <w:szCs w:val="22"/>
        </w:rPr>
      </w:pPr>
      <w:r w:rsidRPr="006324E2">
        <w:rPr>
          <w:color w:val="222222"/>
          <w:sz w:val="22"/>
          <w:szCs w:val="22"/>
          <w:shd w:val="clear" w:color="auto" w:fill="FFFFFF"/>
        </w:rPr>
        <w:t>Cohen, A., &amp; Einav, L. 2003. The effects of mandatory seat belt laws on driving behavior and traffic fatalities. </w:t>
      </w:r>
      <w:r w:rsidRPr="006324E2">
        <w:rPr>
          <w:i/>
          <w:iCs/>
          <w:color w:val="222222"/>
          <w:sz w:val="22"/>
          <w:szCs w:val="22"/>
          <w:shd w:val="clear" w:color="auto" w:fill="FFFFFF"/>
        </w:rPr>
        <w:t>Review of Economics and Statistics</w:t>
      </w:r>
      <w:r w:rsidRPr="006324E2">
        <w:rPr>
          <w:color w:val="222222"/>
          <w:sz w:val="22"/>
          <w:szCs w:val="22"/>
          <w:shd w:val="clear" w:color="auto" w:fill="FFFFFF"/>
        </w:rPr>
        <w:t>, 85(4)</w:t>
      </w:r>
      <w:r w:rsidR="006E3707" w:rsidRPr="006324E2">
        <w:rPr>
          <w:color w:val="222222"/>
          <w:sz w:val="22"/>
          <w:szCs w:val="22"/>
          <w:shd w:val="clear" w:color="auto" w:fill="FFFFFF"/>
        </w:rPr>
        <w:t>:</w:t>
      </w:r>
      <w:r w:rsidRPr="006324E2">
        <w:rPr>
          <w:color w:val="222222"/>
          <w:sz w:val="22"/>
          <w:szCs w:val="22"/>
          <w:shd w:val="clear" w:color="auto" w:fill="FFFFFF"/>
        </w:rPr>
        <w:t xml:space="preserve"> 828-843.</w:t>
      </w:r>
    </w:p>
    <w:p w14:paraId="464F55AF" w14:textId="61E73266" w:rsidR="004B5EEF" w:rsidRPr="006324E2" w:rsidRDefault="004B5EEF" w:rsidP="00F276E7">
      <w:pPr>
        <w:pStyle w:val="NormalWeb"/>
        <w:widowControl w:val="0"/>
        <w:snapToGrid w:val="0"/>
        <w:spacing w:before="0" w:beforeAutospacing="0" w:after="0" w:afterAutospacing="0" w:line="480" w:lineRule="auto"/>
        <w:ind w:left="360" w:hanging="360"/>
        <w:rPr>
          <w:sz w:val="22"/>
          <w:szCs w:val="22"/>
        </w:rPr>
      </w:pPr>
      <w:r w:rsidRPr="006324E2">
        <w:rPr>
          <w:color w:val="222222"/>
          <w:sz w:val="22"/>
          <w:szCs w:val="22"/>
          <w:shd w:val="clear" w:color="auto" w:fill="FFFFFF"/>
        </w:rPr>
        <w:t>Davidson III, W</w:t>
      </w:r>
      <w:r w:rsidR="006E3707" w:rsidRPr="006324E2">
        <w:rPr>
          <w:color w:val="222222"/>
          <w:sz w:val="22"/>
          <w:szCs w:val="22"/>
          <w:shd w:val="clear" w:color="auto" w:fill="FFFFFF"/>
        </w:rPr>
        <w:t>.</w:t>
      </w:r>
      <w:r w:rsidRPr="006324E2">
        <w:rPr>
          <w:color w:val="222222"/>
          <w:sz w:val="22"/>
          <w:szCs w:val="22"/>
          <w:shd w:val="clear" w:color="auto" w:fill="FFFFFF"/>
        </w:rPr>
        <w:t xml:space="preserve"> N., </w:t>
      </w:r>
      <w:r w:rsidR="006E3707" w:rsidRPr="006324E2">
        <w:rPr>
          <w:color w:val="222222"/>
          <w:sz w:val="22"/>
          <w:szCs w:val="22"/>
          <w:shd w:val="clear" w:color="auto" w:fill="FFFFFF"/>
        </w:rPr>
        <w:t>&amp;</w:t>
      </w:r>
      <w:r w:rsidRPr="006324E2">
        <w:rPr>
          <w:color w:val="222222"/>
          <w:sz w:val="22"/>
          <w:szCs w:val="22"/>
          <w:shd w:val="clear" w:color="auto" w:fill="FFFFFF"/>
        </w:rPr>
        <w:t xml:space="preserve"> Worrell</w:t>
      </w:r>
      <w:r w:rsidR="006E3707" w:rsidRPr="006324E2">
        <w:rPr>
          <w:color w:val="222222"/>
          <w:sz w:val="22"/>
          <w:szCs w:val="22"/>
          <w:shd w:val="clear" w:color="auto" w:fill="FFFFFF"/>
        </w:rPr>
        <w:t>, D. L.</w:t>
      </w:r>
      <w:r w:rsidR="006953B8" w:rsidRPr="006324E2">
        <w:rPr>
          <w:color w:val="222222"/>
          <w:sz w:val="22"/>
          <w:szCs w:val="22"/>
          <w:shd w:val="clear" w:color="auto" w:fill="FFFFFF"/>
        </w:rPr>
        <w:t xml:space="preserve"> 1992</w:t>
      </w:r>
      <w:r w:rsidR="006E3707" w:rsidRPr="006324E2">
        <w:rPr>
          <w:color w:val="222222"/>
          <w:sz w:val="22"/>
          <w:szCs w:val="22"/>
          <w:shd w:val="clear" w:color="auto" w:fill="FFFFFF"/>
        </w:rPr>
        <w:t>.</w:t>
      </w:r>
      <w:r w:rsidRPr="006324E2">
        <w:rPr>
          <w:color w:val="222222"/>
          <w:sz w:val="22"/>
          <w:szCs w:val="22"/>
          <w:shd w:val="clear" w:color="auto" w:fill="FFFFFF"/>
        </w:rPr>
        <w:t xml:space="preserve"> Research notes and communications: The effect of product recall announcements on shareholder wealth</w:t>
      </w:r>
      <w:r w:rsidR="009B523B" w:rsidRPr="006324E2">
        <w:rPr>
          <w:color w:val="222222"/>
          <w:sz w:val="22"/>
          <w:szCs w:val="22"/>
          <w:shd w:val="clear" w:color="auto" w:fill="FFFFFF"/>
        </w:rPr>
        <w:t>.</w:t>
      </w:r>
      <w:r w:rsidRPr="006324E2">
        <w:rPr>
          <w:color w:val="222222"/>
          <w:sz w:val="22"/>
          <w:szCs w:val="22"/>
          <w:shd w:val="clear" w:color="auto" w:fill="FFFFFF"/>
        </w:rPr>
        <w:t> </w:t>
      </w:r>
      <w:r w:rsidRPr="006324E2">
        <w:rPr>
          <w:i/>
          <w:iCs/>
          <w:color w:val="222222"/>
          <w:sz w:val="22"/>
          <w:szCs w:val="22"/>
          <w:shd w:val="clear" w:color="auto" w:fill="FFFFFF"/>
        </w:rPr>
        <w:t>Strategic management journal</w:t>
      </w:r>
      <w:r w:rsidR="006953B8" w:rsidRPr="006324E2">
        <w:rPr>
          <w:i/>
          <w:iCs/>
          <w:color w:val="222222"/>
          <w:sz w:val="22"/>
          <w:szCs w:val="22"/>
          <w:shd w:val="clear" w:color="auto" w:fill="FFFFFF"/>
        </w:rPr>
        <w:t>,</w:t>
      </w:r>
      <w:r w:rsidRPr="006324E2">
        <w:rPr>
          <w:color w:val="222222"/>
          <w:sz w:val="22"/>
          <w:szCs w:val="22"/>
          <w:shd w:val="clear" w:color="auto" w:fill="FFFFFF"/>
        </w:rPr>
        <w:t> 13</w:t>
      </w:r>
      <w:r w:rsidR="006953B8" w:rsidRPr="006324E2">
        <w:rPr>
          <w:color w:val="222222"/>
          <w:sz w:val="22"/>
          <w:szCs w:val="22"/>
          <w:shd w:val="clear" w:color="auto" w:fill="FFFFFF"/>
        </w:rPr>
        <w:t>(</w:t>
      </w:r>
      <w:r w:rsidRPr="006324E2">
        <w:rPr>
          <w:color w:val="222222"/>
          <w:sz w:val="22"/>
          <w:szCs w:val="22"/>
          <w:shd w:val="clear" w:color="auto" w:fill="FFFFFF"/>
        </w:rPr>
        <w:t>6</w:t>
      </w:r>
      <w:r w:rsidR="006953B8" w:rsidRPr="006324E2">
        <w:rPr>
          <w:color w:val="222222"/>
          <w:sz w:val="22"/>
          <w:szCs w:val="22"/>
          <w:shd w:val="clear" w:color="auto" w:fill="FFFFFF"/>
        </w:rPr>
        <w:t>)</w:t>
      </w:r>
      <w:r w:rsidR="009B523B" w:rsidRPr="006324E2">
        <w:rPr>
          <w:color w:val="222222"/>
          <w:sz w:val="22"/>
          <w:szCs w:val="22"/>
          <w:shd w:val="clear" w:color="auto" w:fill="FFFFFF"/>
        </w:rPr>
        <w:t>:</w:t>
      </w:r>
      <w:r w:rsidRPr="006324E2">
        <w:rPr>
          <w:color w:val="222222"/>
          <w:sz w:val="22"/>
          <w:szCs w:val="22"/>
          <w:shd w:val="clear" w:color="auto" w:fill="FFFFFF"/>
        </w:rPr>
        <w:t xml:space="preserve"> 467-</w:t>
      </w:r>
      <w:r w:rsidR="00036753" w:rsidRPr="006324E2">
        <w:rPr>
          <w:color w:val="222222"/>
          <w:sz w:val="22"/>
          <w:szCs w:val="22"/>
          <w:shd w:val="clear" w:color="auto" w:fill="FFFFFF"/>
        </w:rPr>
        <w:t>4</w:t>
      </w:r>
      <w:r w:rsidRPr="006324E2">
        <w:rPr>
          <w:color w:val="222222"/>
          <w:sz w:val="22"/>
          <w:szCs w:val="22"/>
          <w:shd w:val="clear" w:color="auto" w:fill="FFFFFF"/>
        </w:rPr>
        <w:t>73.</w:t>
      </w:r>
    </w:p>
    <w:p w14:paraId="2480157F" w14:textId="7909A366" w:rsidR="00C8265B" w:rsidRPr="00F276E7" w:rsidRDefault="00C8265B" w:rsidP="00F276E7">
      <w:pPr>
        <w:widowControl w:val="0"/>
        <w:snapToGrid w:val="0"/>
        <w:spacing w:line="480" w:lineRule="auto"/>
        <w:ind w:left="360" w:hanging="360"/>
        <w:rPr>
          <w:sz w:val="22"/>
          <w:szCs w:val="22"/>
        </w:rPr>
      </w:pPr>
      <w:r w:rsidRPr="00F276E7">
        <w:rPr>
          <w:sz w:val="22"/>
          <w:szCs w:val="22"/>
        </w:rPr>
        <w:t>Dawar, N</w:t>
      </w:r>
      <w:r w:rsidR="009B523B" w:rsidRPr="00F276E7">
        <w:rPr>
          <w:sz w:val="22"/>
          <w:szCs w:val="22"/>
        </w:rPr>
        <w:t>.</w:t>
      </w:r>
      <w:r w:rsidR="007B5D03" w:rsidRPr="00F276E7">
        <w:rPr>
          <w:sz w:val="22"/>
          <w:szCs w:val="22"/>
        </w:rPr>
        <w:t xml:space="preserve"> </w:t>
      </w:r>
      <w:r w:rsidR="009B523B" w:rsidRPr="00F276E7">
        <w:rPr>
          <w:sz w:val="22"/>
          <w:szCs w:val="22"/>
        </w:rPr>
        <w:t>&amp;</w:t>
      </w:r>
      <w:r w:rsidR="007B5D03" w:rsidRPr="00F276E7">
        <w:rPr>
          <w:sz w:val="22"/>
          <w:szCs w:val="22"/>
        </w:rPr>
        <w:t xml:space="preserve"> Parker</w:t>
      </w:r>
      <w:r w:rsidR="009B523B" w:rsidRPr="00F276E7">
        <w:rPr>
          <w:sz w:val="22"/>
          <w:szCs w:val="22"/>
        </w:rPr>
        <w:t>, P.</w:t>
      </w:r>
      <w:r w:rsidRPr="00F276E7">
        <w:rPr>
          <w:sz w:val="22"/>
          <w:szCs w:val="22"/>
        </w:rPr>
        <w:t xml:space="preserve"> </w:t>
      </w:r>
      <w:r w:rsidR="007B5D03" w:rsidRPr="00F276E7">
        <w:rPr>
          <w:sz w:val="22"/>
          <w:szCs w:val="22"/>
        </w:rPr>
        <w:t>1994</w:t>
      </w:r>
      <w:r w:rsidR="009B523B" w:rsidRPr="00F276E7">
        <w:rPr>
          <w:sz w:val="22"/>
          <w:szCs w:val="22"/>
        </w:rPr>
        <w:t>.</w:t>
      </w:r>
      <w:r w:rsidRPr="00F276E7">
        <w:rPr>
          <w:sz w:val="22"/>
          <w:szCs w:val="22"/>
        </w:rPr>
        <w:t xml:space="preserve"> Marketing Universals: Consumers</w:t>
      </w:r>
      <w:r w:rsidR="004C1521" w:rsidRPr="00F276E7">
        <w:rPr>
          <w:sz w:val="22"/>
          <w:szCs w:val="22"/>
        </w:rPr>
        <w:t>’</w:t>
      </w:r>
      <w:r w:rsidRPr="00F276E7">
        <w:rPr>
          <w:sz w:val="22"/>
          <w:szCs w:val="22"/>
        </w:rPr>
        <w:t xml:space="preserve"> Use of Brand Name, Price, Physical Appearance, and Retailer Reputatio</w:t>
      </w:r>
      <w:r w:rsidR="007B5D03" w:rsidRPr="00F276E7">
        <w:rPr>
          <w:sz w:val="22"/>
          <w:szCs w:val="22"/>
        </w:rPr>
        <w:t>n as Signals of Product Quality</w:t>
      </w:r>
      <w:r w:rsidR="009B523B" w:rsidRPr="00F276E7">
        <w:rPr>
          <w:sz w:val="22"/>
          <w:szCs w:val="22"/>
        </w:rPr>
        <w:t>.</w:t>
      </w:r>
      <w:r w:rsidRPr="00F276E7">
        <w:rPr>
          <w:sz w:val="22"/>
          <w:szCs w:val="22"/>
        </w:rPr>
        <w:t xml:space="preserve"> </w:t>
      </w:r>
      <w:r w:rsidR="005A277D" w:rsidRPr="00F276E7">
        <w:rPr>
          <w:i/>
          <w:sz w:val="22"/>
          <w:szCs w:val="22"/>
        </w:rPr>
        <w:t>Journal of Marketing</w:t>
      </w:r>
      <w:r w:rsidRPr="00F276E7">
        <w:rPr>
          <w:sz w:val="22"/>
          <w:szCs w:val="22"/>
        </w:rPr>
        <w:t>, 58</w:t>
      </w:r>
      <w:r w:rsidR="007B5D03" w:rsidRPr="00F276E7">
        <w:rPr>
          <w:sz w:val="22"/>
          <w:szCs w:val="22"/>
        </w:rPr>
        <w:t>(2)</w:t>
      </w:r>
      <w:r w:rsidR="009B523B" w:rsidRPr="00F276E7">
        <w:rPr>
          <w:sz w:val="22"/>
          <w:szCs w:val="22"/>
        </w:rPr>
        <w:t>:</w:t>
      </w:r>
      <w:r w:rsidRPr="00F276E7">
        <w:rPr>
          <w:sz w:val="22"/>
          <w:szCs w:val="22"/>
        </w:rPr>
        <w:t xml:space="preserve"> 81-95</w:t>
      </w:r>
      <w:r w:rsidR="006459CD" w:rsidRPr="00F276E7">
        <w:rPr>
          <w:sz w:val="22"/>
          <w:szCs w:val="22"/>
        </w:rPr>
        <w:t>.</w:t>
      </w:r>
    </w:p>
    <w:p w14:paraId="60C55F02" w14:textId="0AF130BB" w:rsidR="00811ECE" w:rsidRPr="006324E2" w:rsidRDefault="00811ECE" w:rsidP="00F276E7">
      <w:pPr>
        <w:pStyle w:val="NormalWeb"/>
        <w:widowControl w:val="0"/>
        <w:snapToGrid w:val="0"/>
        <w:spacing w:before="0" w:beforeAutospacing="0" w:after="0" w:afterAutospacing="0" w:line="480" w:lineRule="auto"/>
        <w:ind w:left="360" w:hanging="360"/>
        <w:rPr>
          <w:sz w:val="22"/>
          <w:szCs w:val="22"/>
        </w:rPr>
      </w:pPr>
      <w:r w:rsidRPr="006324E2">
        <w:rPr>
          <w:sz w:val="22"/>
          <w:szCs w:val="22"/>
        </w:rPr>
        <w:t>Dawar,</w:t>
      </w:r>
      <w:r w:rsidR="005C2F37" w:rsidRPr="006324E2">
        <w:rPr>
          <w:sz w:val="22"/>
          <w:szCs w:val="22"/>
        </w:rPr>
        <w:t xml:space="preserve"> N</w:t>
      </w:r>
      <w:r w:rsidR="00884BFF" w:rsidRPr="006324E2">
        <w:rPr>
          <w:sz w:val="22"/>
          <w:szCs w:val="22"/>
        </w:rPr>
        <w:t>.</w:t>
      </w:r>
      <w:r w:rsidR="005C2F37" w:rsidRPr="006324E2">
        <w:rPr>
          <w:sz w:val="22"/>
          <w:szCs w:val="22"/>
        </w:rPr>
        <w:t xml:space="preserve"> </w:t>
      </w:r>
      <w:r w:rsidR="00884BFF" w:rsidRPr="006324E2">
        <w:rPr>
          <w:sz w:val="22"/>
          <w:szCs w:val="22"/>
        </w:rPr>
        <w:t>&amp;</w:t>
      </w:r>
      <w:r w:rsidR="005C2F37" w:rsidRPr="006324E2">
        <w:rPr>
          <w:sz w:val="22"/>
          <w:szCs w:val="22"/>
        </w:rPr>
        <w:t xml:space="preserve"> </w:t>
      </w:r>
      <w:proofErr w:type="spellStart"/>
      <w:r w:rsidRPr="006324E2">
        <w:rPr>
          <w:sz w:val="22"/>
          <w:szCs w:val="22"/>
        </w:rPr>
        <w:t>Pillutla</w:t>
      </w:r>
      <w:proofErr w:type="spellEnd"/>
      <w:r w:rsidR="00884BFF" w:rsidRPr="006324E2">
        <w:rPr>
          <w:sz w:val="22"/>
          <w:szCs w:val="22"/>
        </w:rPr>
        <w:t>, M. M.</w:t>
      </w:r>
      <w:r w:rsidR="007B5D03" w:rsidRPr="006324E2">
        <w:rPr>
          <w:sz w:val="22"/>
          <w:szCs w:val="22"/>
        </w:rPr>
        <w:t xml:space="preserve"> 2000</w:t>
      </w:r>
      <w:r w:rsidR="00884BFF" w:rsidRPr="006324E2">
        <w:rPr>
          <w:sz w:val="22"/>
          <w:szCs w:val="22"/>
        </w:rPr>
        <w:t>.</w:t>
      </w:r>
      <w:r w:rsidRPr="006324E2">
        <w:rPr>
          <w:sz w:val="22"/>
          <w:szCs w:val="22"/>
        </w:rPr>
        <w:t xml:space="preserve"> Impact of Product-Harm Crises on Brand Equity: The Moderating </w:t>
      </w:r>
      <w:r w:rsidRPr="006324E2">
        <w:rPr>
          <w:sz w:val="22"/>
          <w:szCs w:val="22"/>
        </w:rPr>
        <w:lastRenderedPageBreak/>
        <w:t>Role of Consumer Expectations</w:t>
      </w:r>
      <w:r w:rsidR="00884BFF" w:rsidRPr="006324E2">
        <w:rPr>
          <w:sz w:val="22"/>
          <w:szCs w:val="22"/>
        </w:rPr>
        <w:t>.</w:t>
      </w:r>
      <w:r w:rsidRPr="006324E2">
        <w:rPr>
          <w:sz w:val="22"/>
          <w:szCs w:val="22"/>
        </w:rPr>
        <w:t xml:space="preserve"> </w:t>
      </w:r>
      <w:r w:rsidRPr="006324E2">
        <w:rPr>
          <w:i/>
          <w:iCs/>
          <w:sz w:val="22"/>
          <w:szCs w:val="22"/>
        </w:rPr>
        <w:t>Jou</w:t>
      </w:r>
      <w:r w:rsidR="005C2F37" w:rsidRPr="006324E2">
        <w:rPr>
          <w:i/>
          <w:iCs/>
          <w:sz w:val="22"/>
          <w:szCs w:val="22"/>
        </w:rPr>
        <w:t>rnal of Marketing Research</w:t>
      </w:r>
      <w:r w:rsidRPr="006324E2">
        <w:rPr>
          <w:i/>
          <w:iCs/>
          <w:sz w:val="22"/>
          <w:szCs w:val="22"/>
        </w:rPr>
        <w:t xml:space="preserve">, </w:t>
      </w:r>
      <w:r w:rsidR="005C2F37" w:rsidRPr="006324E2">
        <w:rPr>
          <w:sz w:val="22"/>
          <w:szCs w:val="22"/>
        </w:rPr>
        <w:t>37</w:t>
      </w:r>
      <w:r w:rsidR="007B5D03" w:rsidRPr="006324E2">
        <w:rPr>
          <w:sz w:val="22"/>
          <w:szCs w:val="22"/>
        </w:rPr>
        <w:t>(5)</w:t>
      </w:r>
      <w:r w:rsidR="00884BFF" w:rsidRPr="006324E2">
        <w:rPr>
          <w:sz w:val="22"/>
          <w:szCs w:val="22"/>
        </w:rPr>
        <w:t>:</w:t>
      </w:r>
      <w:r w:rsidRPr="006324E2">
        <w:rPr>
          <w:sz w:val="22"/>
          <w:szCs w:val="22"/>
        </w:rPr>
        <w:t xml:space="preserve"> 215-</w:t>
      </w:r>
      <w:r w:rsidR="00036753" w:rsidRPr="006324E2">
        <w:rPr>
          <w:sz w:val="22"/>
          <w:szCs w:val="22"/>
        </w:rPr>
        <w:t>2</w:t>
      </w:r>
      <w:r w:rsidRPr="006324E2">
        <w:rPr>
          <w:sz w:val="22"/>
          <w:szCs w:val="22"/>
        </w:rPr>
        <w:t>26.</w:t>
      </w:r>
    </w:p>
    <w:p w14:paraId="1853EEED" w14:textId="2A7B70EA" w:rsidR="005E4C79" w:rsidRDefault="005E4C79" w:rsidP="00F276E7">
      <w:pPr>
        <w:pStyle w:val="NormalWeb"/>
        <w:widowControl w:val="0"/>
        <w:snapToGrid w:val="0"/>
        <w:spacing w:before="0" w:beforeAutospacing="0" w:after="0" w:afterAutospacing="0" w:line="480" w:lineRule="auto"/>
        <w:ind w:left="360" w:hanging="360"/>
        <w:rPr>
          <w:sz w:val="22"/>
          <w:szCs w:val="22"/>
        </w:rPr>
      </w:pPr>
      <w:proofErr w:type="spellStart"/>
      <w:r>
        <w:rPr>
          <w:sz w:val="22"/>
          <w:szCs w:val="22"/>
        </w:rPr>
        <w:t>Debusmann</w:t>
      </w:r>
      <w:proofErr w:type="spellEnd"/>
      <w:r>
        <w:rPr>
          <w:sz w:val="22"/>
          <w:szCs w:val="22"/>
        </w:rPr>
        <w:t xml:space="preserve"> Jr., B. March 15, 2024. James Crumbley: Father of Michigan school gunman convicted of manslaughter. BBC News Online, Accessed: </w:t>
      </w:r>
      <w:r w:rsidR="00CE152D">
        <w:rPr>
          <w:sz w:val="22"/>
          <w:szCs w:val="22"/>
        </w:rPr>
        <w:t xml:space="preserve">March 28, 2024. </w:t>
      </w:r>
      <w:r w:rsidR="00CE152D" w:rsidRPr="00CE152D">
        <w:rPr>
          <w:sz w:val="22"/>
          <w:szCs w:val="22"/>
        </w:rPr>
        <w:t>https://www.bbc.com/news/world-us-canada-68572112</w:t>
      </w:r>
    </w:p>
    <w:p w14:paraId="0AC7429D" w14:textId="0A66799B" w:rsidR="00413B70" w:rsidRPr="006324E2" w:rsidRDefault="00413B70" w:rsidP="00CE152D">
      <w:pPr>
        <w:pStyle w:val="NormalWeb"/>
        <w:widowControl w:val="0"/>
        <w:snapToGrid w:val="0"/>
        <w:spacing w:before="0" w:beforeAutospacing="0" w:after="0" w:afterAutospacing="0" w:line="480" w:lineRule="auto"/>
        <w:ind w:left="360" w:hanging="360"/>
        <w:rPr>
          <w:sz w:val="22"/>
          <w:szCs w:val="22"/>
        </w:rPr>
      </w:pPr>
      <w:r w:rsidRPr="006324E2">
        <w:rPr>
          <w:sz w:val="22"/>
          <w:szCs w:val="22"/>
        </w:rPr>
        <w:t>Denzer, K</w:t>
      </w:r>
      <w:r w:rsidR="00884BFF" w:rsidRPr="006324E2">
        <w:rPr>
          <w:sz w:val="22"/>
          <w:szCs w:val="22"/>
        </w:rPr>
        <w:t>.</w:t>
      </w:r>
      <w:r w:rsidRPr="006324E2">
        <w:rPr>
          <w:sz w:val="22"/>
          <w:szCs w:val="22"/>
        </w:rPr>
        <w:t xml:space="preserve"> October 5, 2017</w:t>
      </w:r>
      <w:r w:rsidR="00884BFF" w:rsidRPr="006324E2">
        <w:rPr>
          <w:sz w:val="22"/>
          <w:szCs w:val="22"/>
        </w:rPr>
        <w:t>.</w:t>
      </w:r>
      <w:r w:rsidRPr="006324E2">
        <w:rPr>
          <w:sz w:val="22"/>
          <w:szCs w:val="22"/>
        </w:rPr>
        <w:t xml:space="preserve"> Behold the four-month process of buying a gun in Japan</w:t>
      </w:r>
      <w:r w:rsidR="00884BFF" w:rsidRPr="006324E2">
        <w:rPr>
          <w:sz w:val="22"/>
          <w:szCs w:val="22"/>
        </w:rPr>
        <w:t>.</w:t>
      </w:r>
      <w:r w:rsidRPr="006324E2">
        <w:rPr>
          <w:sz w:val="22"/>
          <w:szCs w:val="22"/>
        </w:rPr>
        <w:t xml:space="preserve"> The Washington Post, Accessed: November 20, 2022. </w:t>
      </w:r>
      <w:hyperlink r:id="rId12" w:history="1">
        <w:r w:rsidRPr="006324E2">
          <w:rPr>
            <w:rStyle w:val="Hyperlink"/>
            <w:sz w:val="22"/>
            <w:szCs w:val="22"/>
          </w:rPr>
          <w:t>https://www</w:t>
        </w:r>
      </w:hyperlink>
      <w:r w:rsidRPr="006324E2">
        <w:rPr>
          <w:sz w:val="22"/>
          <w:szCs w:val="22"/>
        </w:rPr>
        <w:t xml:space="preserve">.washingtonpost.com/opinions/behold-the-four-month-process-of-buying-a-gun-in-japan/2017/10/05/72283fea-2375-11e7-b503-9d616bd5a305_story.html </w:t>
      </w:r>
    </w:p>
    <w:p w14:paraId="00BCF334" w14:textId="77777777" w:rsidR="004F7EF6" w:rsidRPr="006324E2" w:rsidRDefault="00097669" w:rsidP="00F276E7">
      <w:pPr>
        <w:pStyle w:val="NormalWeb"/>
        <w:widowControl w:val="0"/>
        <w:snapToGrid w:val="0"/>
        <w:spacing w:before="0" w:beforeAutospacing="0" w:after="0" w:afterAutospacing="0" w:line="480" w:lineRule="auto"/>
        <w:ind w:left="360" w:hanging="360"/>
        <w:rPr>
          <w:sz w:val="22"/>
          <w:szCs w:val="22"/>
        </w:rPr>
      </w:pPr>
      <w:r w:rsidRPr="006324E2">
        <w:rPr>
          <w:sz w:val="22"/>
          <w:szCs w:val="22"/>
        </w:rPr>
        <w:t>Dobrev</w:t>
      </w:r>
      <w:r w:rsidR="00761151" w:rsidRPr="006324E2">
        <w:rPr>
          <w:sz w:val="22"/>
          <w:szCs w:val="22"/>
        </w:rPr>
        <w:t xml:space="preserve">, </w:t>
      </w:r>
      <w:r w:rsidR="007B5D03" w:rsidRPr="006324E2">
        <w:rPr>
          <w:sz w:val="22"/>
          <w:szCs w:val="22"/>
        </w:rPr>
        <w:t>S</w:t>
      </w:r>
      <w:r w:rsidR="00884BFF" w:rsidRPr="006324E2">
        <w:rPr>
          <w:sz w:val="22"/>
          <w:szCs w:val="22"/>
        </w:rPr>
        <w:t>.</w:t>
      </w:r>
      <w:r w:rsidR="007B5D03" w:rsidRPr="006324E2">
        <w:rPr>
          <w:sz w:val="22"/>
          <w:szCs w:val="22"/>
        </w:rPr>
        <w:t xml:space="preserve"> </w:t>
      </w:r>
      <w:r w:rsidR="002E45F6" w:rsidRPr="006324E2">
        <w:rPr>
          <w:sz w:val="22"/>
          <w:szCs w:val="22"/>
        </w:rPr>
        <w:t>D.,</w:t>
      </w:r>
      <w:r w:rsidR="00884BFF" w:rsidRPr="006324E2">
        <w:rPr>
          <w:sz w:val="22"/>
          <w:szCs w:val="22"/>
        </w:rPr>
        <w:t xml:space="preserve"> </w:t>
      </w:r>
      <w:r w:rsidR="002E45F6" w:rsidRPr="006324E2">
        <w:rPr>
          <w:sz w:val="22"/>
          <w:szCs w:val="22"/>
        </w:rPr>
        <w:t>Kim,</w:t>
      </w:r>
      <w:r w:rsidR="00884BFF" w:rsidRPr="006324E2">
        <w:rPr>
          <w:sz w:val="22"/>
          <w:szCs w:val="22"/>
        </w:rPr>
        <w:t xml:space="preserve"> T-K.,</w:t>
      </w:r>
      <w:r w:rsidR="002E45F6" w:rsidRPr="006324E2">
        <w:rPr>
          <w:sz w:val="22"/>
          <w:szCs w:val="22"/>
        </w:rPr>
        <w:t xml:space="preserve"> </w:t>
      </w:r>
      <w:r w:rsidR="00884BFF" w:rsidRPr="006324E2">
        <w:rPr>
          <w:sz w:val="22"/>
          <w:szCs w:val="22"/>
        </w:rPr>
        <w:t xml:space="preserve">&amp; </w:t>
      </w:r>
      <w:r w:rsidR="002E45F6" w:rsidRPr="006324E2">
        <w:rPr>
          <w:sz w:val="22"/>
          <w:szCs w:val="22"/>
        </w:rPr>
        <w:t>Carroll</w:t>
      </w:r>
      <w:r w:rsidR="00884BFF" w:rsidRPr="006324E2">
        <w:rPr>
          <w:sz w:val="22"/>
          <w:szCs w:val="22"/>
        </w:rPr>
        <w:t>, G. R.</w:t>
      </w:r>
      <w:r w:rsidR="008627AE" w:rsidRPr="006324E2">
        <w:rPr>
          <w:sz w:val="22"/>
          <w:szCs w:val="22"/>
        </w:rPr>
        <w:t xml:space="preserve"> </w:t>
      </w:r>
      <w:r w:rsidR="007B5D03" w:rsidRPr="006324E2">
        <w:rPr>
          <w:sz w:val="22"/>
          <w:szCs w:val="22"/>
        </w:rPr>
        <w:t>2002</w:t>
      </w:r>
      <w:r w:rsidR="00884BFF" w:rsidRPr="006324E2">
        <w:rPr>
          <w:sz w:val="22"/>
          <w:szCs w:val="22"/>
        </w:rPr>
        <w:t>.</w:t>
      </w:r>
      <w:r w:rsidR="002E45F6" w:rsidRPr="006324E2">
        <w:rPr>
          <w:sz w:val="22"/>
          <w:szCs w:val="22"/>
        </w:rPr>
        <w:t xml:space="preserve"> The evolution of organizational niches: U.S. automobile manufacturers 1885-1981</w:t>
      </w:r>
      <w:r w:rsidR="00884BFF" w:rsidRPr="006324E2">
        <w:rPr>
          <w:sz w:val="22"/>
          <w:szCs w:val="22"/>
        </w:rPr>
        <w:t>.</w:t>
      </w:r>
      <w:r w:rsidR="008627AE" w:rsidRPr="006324E2">
        <w:rPr>
          <w:sz w:val="22"/>
          <w:szCs w:val="22"/>
        </w:rPr>
        <w:t xml:space="preserve"> </w:t>
      </w:r>
      <w:r w:rsidR="002E45F6" w:rsidRPr="006324E2">
        <w:rPr>
          <w:i/>
          <w:sz w:val="22"/>
          <w:szCs w:val="22"/>
        </w:rPr>
        <w:t>Admini</w:t>
      </w:r>
      <w:r w:rsidR="008627AE" w:rsidRPr="006324E2">
        <w:rPr>
          <w:i/>
          <w:sz w:val="22"/>
          <w:szCs w:val="22"/>
        </w:rPr>
        <w:t>strative Sciences Quarterly</w:t>
      </w:r>
      <w:r w:rsidR="008627AE" w:rsidRPr="006324E2">
        <w:rPr>
          <w:sz w:val="22"/>
          <w:szCs w:val="22"/>
        </w:rPr>
        <w:t>, 47</w:t>
      </w:r>
      <w:r w:rsidR="007B5D03" w:rsidRPr="006324E2">
        <w:rPr>
          <w:sz w:val="22"/>
          <w:szCs w:val="22"/>
        </w:rPr>
        <w:t>(2)</w:t>
      </w:r>
      <w:r w:rsidR="00884BFF" w:rsidRPr="006324E2">
        <w:rPr>
          <w:sz w:val="22"/>
          <w:szCs w:val="22"/>
        </w:rPr>
        <w:t>:</w:t>
      </w:r>
      <w:r w:rsidR="002E45F6" w:rsidRPr="006324E2">
        <w:rPr>
          <w:sz w:val="22"/>
          <w:szCs w:val="22"/>
        </w:rPr>
        <w:t xml:space="preserve"> 233-</w:t>
      </w:r>
      <w:r w:rsidR="00036753" w:rsidRPr="006324E2">
        <w:rPr>
          <w:sz w:val="22"/>
          <w:szCs w:val="22"/>
        </w:rPr>
        <w:t>2</w:t>
      </w:r>
      <w:r w:rsidR="002E45F6" w:rsidRPr="006324E2">
        <w:rPr>
          <w:sz w:val="22"/>
          <w:szCs w:val="22"/>
        </w:rPr>
        <w:t>64.</w:t>
      </w:r>
    </w:p>
    <w:p w14:paraId="791A69A4" w14:textId="1C9DD6C4" w:rsidR="00C07C92" w:rsidRPr="006324E2" w:rsidRDefault="004F7EF6" w:rsidP="00F276E7">
      <w:pPr>
        <w:pStyle w:val="NormalWeb"/>
        <w:widowControl w:val="0"/>
        <w:snapToGrid w:val="0"/>
        <w:spacing w:before="0" w:beforeAutospacing="0" w:after="0" w:afterAutospacing="0" w:line="480" w:lineRule="auto"/>
        <w:ind w:left="360" w:hanging="360"/>
        <w:rPr>
          <w:sz w:val="22"/>
          <w:szCs w:val="22"/>
        </w:rPr>
      </w:pPr>
      <w:r w:rsidRPr="006324E2">
        <w:rPr>
          <w:sz w:val="22"/>
          <w:szCs w:val="22"/>
        </w:rPr>
        <w:t xml:space="preserve">Doh, J.P., Eden, L., Tsui, A.S. </w:t>
      </w:r>
      <w:r w:rsidRPr="006324E2">
        <w:rPr>
          <w:i/>
          <w:iCs/>
          <w:sz w:val="22"/>
          <w:szCs w:val="22"/>
        </w:rPr>
        <w:t>et al.</w:t>
      </w:r>
      <w:r w:rsidRPr="006324E2">
        <w:rPr>
          <w:sz w:val="22"/>
          <w:szCs w:val="22"/>
        </w:rPr>
        <w:t xml:space="preserve"> Developing international business scholarship for global societal impact. </w:t>
      </w:r>
      <w:r w:rsidRPr="00F276E7">
        <w:rPr>
          <w:i/>
          <w:sz w:val="22"/>
          <w:szCs w:val="22"/>
        </w:rPr>
        <w:t>Journal of International Business Studies</w:t>
      </w:r>
      <w:r w:rsidRPr="00F276E7">
        <w:rPr>
          <w:sz w:val="22"/>
          <w:szCs w:val="22"/>
        </w:rPr>
        <w:t>, 54</w:t>
      </w:r>
      <w:r w:rsidRPr="006324E2">
        <w:rPr>
          <w:sz w:val="22"/>
          <w:szCs w:val="22"/>
        </w:rPr>
        <w:t xml:space="preserve">, 757–767 (2023). </w:t>
      </w:r>
      <w:r w:rsidR="002E45F6" w:rsidRPr="006324E2">
        <w:rPr>
          <w:sz w:val="22"/>
          <w:szCs w:val="22"/>
        </w:rPr>
        <w:t xml:space="preserve"> </w:t>
      </w:r>
    </w:p>
    <w:p w14:paraId="40945B5C" w14:textId="5E980FF6" w:rsidR="000E2D90" w:rsidRPr="00F276E7" w:rsidRDefault="000E2D90" w:rsidP="00F276E7">
      <w:pPr>
        <w:widowControl w:val="0"/>
        <w:autoSpaceDE w:val="0"/>
        <w:autoSpaceDN w:val="0"/>
        <w:adjustRightInd w:val="0"/>
        <w:snapToGrid w:val="0"/>
        <w:spacing w:line="480" w:lineRule="auto"/>
        <w:ind w:left="360" w:hanging="360"/>
        <w:rPr>
          <w:sz w:val="22"/>
          <w:szCs w:val="22"/>
        </w:rPr>
      </w:pPr>
      <w:r w:rsidRPr="00F276E7">
        <w:rPr>
          <w:sz w:val="22"/>
          <w:szCs w:val="22"/>
        </w:rPr>
        <w:t>Dunning, J</w:t>
      </w:r>
      <w:r w:rsidR="00884BFF" w:rsidRPr="00F276E7">
        <w:rPr>
          <w:sz w:val="22"/>
          <w:szCs w:val="22"/>
        </w:rPr>
        <w:t>.</w:t>
      </w:r>
      <w:r w:rsidR="007B5D03" w:rsidRPr="00F276E7">
        <w:rPr>
          <w:sz w:val="22"/>
          <w:szCs w:val="22"/>
        </w:rPr>
        <w:t xml:space="preserve"> </w:t>
      </w:r>
      <w:r w:rsidRPr="00F276E7">
        <w:rPr>
          <w:sz w:val="22"/>
          <w:szCs w:val="22"/>
        </w:rPr>
        <w:t xml:space="preserve">H. </w:t>
      </w:r>
      <w:r w:rsidR="00884BFF" w:rsidRPr="00F276E7">
        <w:rPr>
          <w:sz w:val="22"/>
          <w:szCs w:val="22"/>
        </w:rPr>
        <w:t>&amp;</w:t>
      </w:r>
      <w:r w:rsidRPr="00F276E7">
        <w:rPr>
          <w:sz w:val="22"/>
          <w:szCs w:val="22"/>
        </w:rPr>
        <w:t xml:space="preserve"> </w:t>
      </w:r>
      <w:proofErr w:type="spellStart"/>
      <w:r w:rsidR="007B5D03" w:rsidRPr="00F276E7">
        <w:rPr>
          <w:sz w:val="22"/>
          <w:szCs w:val="22"/>
        </w:rPr>
        <w:t>Lundan</w:t>
      </w:r>
      <w:proofErr w:type="spellEnd"/>
      <w:r w:rsidR="00884BFF" w:rsidRPr="00F276E7">
        <w:rPr>
          <w:sz w:val="22"/>
          <w:szCs w:val="22"/>
        </w:rPr>
        <w:t>, S. M.</w:t>
      </w:r>
      <w:r w:rsidRPr="00F276E7">
        <w:rPr>
          <w:sz w:val="22"/>
          <w:szCs w:val="22"/>
        </w:rPr>
        <w:t xml:space="preserve"> </w:t>
      </w:r>
      <w:r w:rsidR="007B5D03" w:rsidRPr="00F276E7">
        <w:rPr>
          <w:sz w:val="22"/>
          <w:szCs w:val="22"/>
        </w:rPr>
        <w:t>2008</w:t>
      </w:r>
      <w:r w:rsidR="00884BFF" w:rsidRPr="00F276E7">
        <w:rPr>
          <w:sz w:val="22"/>
          <w:szCs w:val="22"/>
        </w:rPr>
        <w:t>.</w:t>
      </w:r>
      <w:r w:rsidRPr="00F276E7">
        <w:rPr>
          <w:sz w:val="22"/>
          <w:szCs w:val="22"/>
        </w:rPr>
        <w:t xml:space="preserve"> </w:t>
      </w:r>
      <w:r w:rsidRPr="00F276E7">
        <w:rPr>
          <w:i/>
          <w:sz w:val="22"/>
          <w:szCs w:val="22"/>
        </w:rPr>
        <w:t>Multinational Enterprises and the Global Economy</w:t>
      </w:r>
      <w:r w:rsidRPr="00F276E7">
        <w:rPr>
          <w:sz w:val="22"/>
          <w:szCs w:val="22"/>
        </w:rPr>
        <w:t>, 2</w:t>
      </w:r>
      <w:r w:rsidRPr="00F276E7">
        <w:rPr>
          <w:sz w:val="22"/>
          <w:szCs w:val="22"/>
          <w:vertAlign w:val="superscript"/>
        </w:rPr>
        <w:t>nd</w:t>
      </w:r>
      <w:r w:rsidRPr="00F276E7">
        <w:rPr>
          <w:sz w:val="22"/>
          <w:szCs w:val="22"/>
        </w:rPr>
        <w:t xml:space="preserve"> ed.</w:t>
      </w:r>
      <w:r w:rsidR="00E345AB" w:rsidRPr="00F276E7">
        <w:rPr>
          <w:sz w:val="22"/>
          <w:szCs w:val="22"/>
        </w:rPr>
        <w:t xml:space="preserve"> </w:t>
      </w:r>
      <w:r w:rsidRPr="00F276E7">
        <w:rPr>
          <w:sz w:val="22"/>
          <w:szCs w:val="22"/>
        </w:rPr>
        <w:t>Cheltenham: Elgar.</w:t>
      </w:r>
    </w:p>
    <w:p w14:paraId="31ED2AC4" w14:textId="69C36815" w:rsidR="00B0508B" w:rsidRPr="00F276E7" w:rsidRDefault="00B0508B" w:rsidP="00F276E7">
      <w:pPr>
        <w:widowControl w:val="0"/>
        <w:autoSpaceDE w:val="0"/>
        <w:autoSpaceDN w:val="0"/>
        <w:adjustRightInd w:val="0"/>
        <w:snapToGrid w:val="0"/>
        <w:spacing w:line="480" w:lineRule="auto"/>
        <w:ind w:left="360" w:hanging="360"/>
        <w:rPr>
          <w:sz w:val="22"/>
          <w:szCs w:val="22"/>
        </w:rPr>
      </w:pPr>
      <w:r w:rsidRPr="00F276E7">
        <w:rPr>
          <w:sz w:val="22"/>
          <w:szCs w:val="22"/>
        </w:rPr>
        <w:t>Dyer, J</w:t>
      </w:r>
      <w:r w:rsidR="00884BFF" w:rsidRPr="00F276E7">
        <w:rPr>
          <w:sz w:val="22"/>
          <w:szCs w:val="22"/>
        </w:rPr>
        <w:t>.,</w:t>
      </w:r>
      <w:r w:rsidRPr="00F276E7">
        <w:rPr>
          <w:sz w:val="22"/>
          <w:szCs w:val="22"/>
        </w:rPr>
        <w:t xml:space="preserve"> </w:t>
      </w:r>
      <w:r w:rsidR="00884BFF" w:rsidRPr="00F276E7">
        <w:rPr>
          <w:sz w:val="22"/>
          <w:szCs w:val="22"/>
        </w:rPr>
        <w:t>&amp;</w:t>
      </w:r>
      <w:r w:rsidRPr="00F276E7">
        <w:rPr>
          <w:sz w:val="22"/>
          <w:szCs w:val="22"/>
        </w:rPr>
        <w:t xml:space="preserve"> </w:t>
      </w:r>
      <w:r w:rsidR="007B5D03" w:rsidRPr="00F276E7">
        <w:rPr>
          <w:sz w:val="22"/>
          <w:szCs w:val="22"/>
        </w:rPr>
        <w:t>Chu</w:t>
      </w:r>
      <w:r w:rsidR="00884BFF" w:rsidRPr="00F276E7">
        <w:rPr>
          <w:sz w:val="22"/>
          <w:szCs w:val="22"/>
        </w:rPr>
        <w:t>, W.</w:t>
      </w:r>
      <w:r w:rsidRPr="00F276E7">
        <w:rPr>
          <w:sz w:val="22"/>
          <w:szCs w:val="22"/>
        </w:rPr>
        <w:t xml:space="preserve"> </w:t>
      </w:r>
      <w:r w:rsidR="007B5D03" w:rsidRPr="00F276E7">
        <w:rPr>
          <w:sz w:val="22"/>
          <w:szCs w:val="22"/>
        </w:rPr>
        <w:t>2011</w:t>
      </w:r>
      <w:r w:rsidR="00884BFF" w:rsidRPr="00F276E7">
        <w:rPr>
          <w:sz w:val="22"/>
          <w:szCs w:val="22"/>
        </w:rPr>
        <w:t>.</w:t>
      </w:r>
      <w:r w:rsidRPr="00F276E7">
        <w:rPr>
          <w:sz w:val="22"/>
          <w:szCs w:val="22"/>
        </w:rPr>
        <w:t xml:space="preserve"> The determinants of trust in supplier-automaker relations in the U.S., Japan, and Korea: A retrospective</w:t>
      </w:r>
      <w:r w:rsidR="00884BFF" w:rsidRPr="00F276E7">
        <w:rPr>
          <w:sz w:val="22"/>
          <w:szCs w:val="22"/>
        </w:rPr>
        <w:t>.</w:t>
      </w:r>
      <w:r w:rsidR="00883102" w:rsidRPr="00F276E7">
        <w:rPr>
          <w:sz w:val="22"/>
          <w:szCs w:val="22"/>
        </w:rPr>
        <w:t xml:space="preserve"> </w:t>
      </w:r>
      <w:r w:rsidR="00883102" w:rsidRPr="00F276E7">
        <w:rPr>
          <w:i/>
          <w:sz w:val="22"/>
          <w:szCs w:val="22"/>
        </w:rPr>
        <w:t>Journal of International Business Studies</w:t>
      </w:r>
      <w:r w:rsidR="00883102" w:rsidRPr="00F276E7">
        <w:rPr>
          <w:sz w:val="22"/>
          <w:szCs w:val="22"/>
        </w:rPr>
        <w:t>, 42</w:t>
      </w:r>
      <w:r w:rsidR="007B5D03" w:rsidRPr="00F276E7">
        <w:rPr>
          <w:sz w:val="22"/>
          <w:szCs w:val="22"/>
        </w:rPr>
        <w:t>(1)</w:t>
      </w:r>
      <w:r w:rsidR="00884BFF" w:rsidRPr="00F276E7">
        <w:rPr>
          <w:sz w:val="22"/>
          <w:szCs w:val="22"/>
        </w:rPr>
        <w:t>:</w:t>
      </w:r>
      <w:r w:rsidR="00883102" w:rsidRPr="00F276E7">
        <w:rPr>
          <w:sz w:val="22"/>
          <w:szCs w:val="22"/>
        </w:rPr>
        <w:t xml:space="preserve"> 28-34.</w:t>
      </w:r>
    </w:p>
    <w:p w14:paraId="46280A1B" w14:textId="6FF3F0B8" w:rsidR="00B86FDF" w:rsidRPr="00F276E7" w:rsidRDefault="00B86FDF" w:rsidP="00F276E7">
      <w:pPr>
        <w:widowControl w:val="0"/>
        <w:autoSpaceDE w:val="0"/>
        <w:autoSpaceDN w:val="0"/>
        <w:adjustRightInd w:val="0"/>
        <w:snapToGrid w:val="0"/>
        <w:spacing w:line="480" w:lineRule="auto"/>
        <w:ind w:left="360" w:hanging="360"/>
        <w:rPr>
          <w:sz w:val="22"/>
          <w:szCs w:val="22"/>
        </w:rPr>
      </w:pPr>
      <w:r w:rsidRPr="00F276E7">
        <w:rPr>
          <w:sz w:val="22"/>
          <w:szCs w:val="22"/>
        </w:rPr>
        <w:t>Eilert, M</w:t>
      </w:r>
      <w:r w:rsidR="00884BFF" w:rsidRPr="00F276E7">
        <w:rPr>
          <w:sz w:val="22"/>
          <w:szCs w:val="22"/>
        </w:rPr>
        <w:t>.</w:t>
      </w:r>
      <w:r w:rsidRPr="00F276E7">
        <w:rPr>
          <w:sz w:val="22"/>
          <w:szCs w:val="22"/>
        </w:rPr>
        <w:t>,</w:t>
      </w:r>
      <w:r w:rsidR="00884BFF" w:rsidRPr="00F276E7">
        <w:rPr>
          <w:sz w:val="22"/>
          <w:szCs w:val="22"/>
        </w:rPr>
        <w:t xml:space="preserve"> </w:t>
      </w:r>
      <w:r w:rsidRPr="00F276E7">
        <w:rPr>
          <w:sz w:val="22"/>
          <w:szCs w:val="22"/>
        </w:rPr>
        <w:t>Jayachandran,</w:t>
      </w:r>
      <w:r w:rsidR="00884BFF" w:rsidRPr="00F276E7">
        <w:rPr>
          <w:sz w:val="22"/>
          <w:szCs w:val="22"/>
        </w:rPr>
        <w:t xml:space="preserve"> S.,</w:t>
      </w:r>
      <w:r w:rsidRPr="00F276E7">
        <w:rPr>
          <w:sz w:val="22"/>
          <w:szCs w:val="22"/>
        </w:rPr>
        <w:t xml:space="preserve"> Kalaignanam, </w:t>
      </w:r>
      <w:r w:rsidR="00884BFF" w:rsidRPr="00F276E7">
        <w:rPr>
          <w:sz w:val="22"/>
          <w:szCs w:val="22"/>
        </w:rPr>
        <w:t xml:space="preserve">K., &amp; </w:t>
      </w:r>
      <w:r w:rsidRPr="00F276E7">
        <w:rPr>
          <w:sz w:val="22"/>
          <w:szCs w:val="22"/>
        </w:rPr>
        <w:t>Swartz</w:t>
      </w:r>
      <w:r w:rsidR="00884BFF" w:rsidRPr="00F276E7">
        <w:rPr>
          <w:sz w:val="22"/>
          <w:szCs w:val="22"/>
        </w:rPr>
        <w:t>, T. A.</w:t>
      </w:r>
      <w:r w:rsidRPr="00F276E7">
        <w:rPr>
          <w:sz w:val="22"/>
          <w:szCs w:val="22"/>
        </w:rPr>
        <w:t xml:space="preserve"> 2017</w:t>
      </w:r>
      <w:r w:rsidR="00884BFF" w:rsidRPr="00F276E7">
        <w:rPr>
          <w:sz w:val="22"/>
          <w:szCs w:val="22"/>
        </w:rPr>
        <w:t>.</w:t>
      </w:r>
      <w:r w:rsidRPr="00F276E7">
        <w:rPr>
          <w:sz w:val="22"/>
          <w:szCs w:val="22"/>
        </w:rPr>
        <w:t xml:space="preserve"> Does it pay to recall your product early?  An empirical investigation in the automobile industry</w:t>
      </w:r>
      <w:r w:rsidR="00884BFF" w:rsidRPr="00F276E7">
        <w:rPr>
          <w:sz w:val="22"/>
          <w:szCs w:val="22"/>
        </w:rPr>
        <w:t>.</w:t>
      </w:r>
      <w:r w:rsidRPr="00F276E7">
        <w:rPr>
          <w:sz w:val="22"/>
          <w:szCs w:val="22"/>
        </w:rPr>
        <w:t xml:space="preserve"> </w:t>
      </w:r>
      <w:r w:rsidRPr="00F276E7">
        <w:rPr>
          <w:i/>
          <w:sz w:val="22"/>
          <w:szCs w:val="22"/>
        </w:rPr>
        <w:t>Journal of Marketing</w:t>
      </w:r>
      <w:r w:rsidRPr="00F276E7">
        <w:rPr>
          <w:sz w:val="22"/>
          <w:szCs w:val="22"/>
        </w:rPr>
        <w:t>, 81(May)</w:t>
      </w:r>
      <w:r w:rsidR="00884BFF" w:rsidRPr="00F276E7">
        <w:rPr>
          <w:sz w:val="22"/>
          <w:szCs w:val="22"/>
        </w:rPr>
        <w:t>:</w:t>
      </w:r>
      <w:r w:rsidRPr="00F276E7">
        <w:rPr>
          <w:sz w:val="22"/>
          <w:szCs w:val="22"/>
        </w:rPr>
        <w:t xml:space="preserve"> 111-</w:t>
      </w:r>
      <w:r w:rsidR="00036753" w:rsidRPr="00F276E7">
        <w:rPr>
          <w:sz w:val="22"/>
          <w:szCs w:val="22"/>
        </w:rPr>
        <w:t>1</w:t>
      </w:r>
      <w:r w:rsidRPr="00F276E7">
        <w:rPr>
          <w:sz w:val="22"/>
          <w:szCs w:val="22"/>
        </w:rPr>
        <w:t>29.</w:t>
      </w:r>
    </w:p>
    <w:p w14:paraId="44BF90B8" w14:textId="7D492433" w:rsidR="00737801" w:rsidRPr="00F276E7" w:rsidRDefault="00737801" w:rsidP="00F276E7">
      <w:pPr>
        <w:widowControl w:val="0"/>
        <w:autoSpaceDE w:val="0"/>
        <w:autoSpaceDN w:val="0"/>
        <w:adjustRightInd w:val="0"/>
        <w:snapToGrid w:val="0"/>
        <w:spacing w:line="480" w:lineRule="auto"/>
        <w:ind w:left="360" w:hanging="360"/>
        <w:rPr>
          <w:sz w:val="22"/>
          <w:szCs w:val="22"/>
        </w:rPr>
      </w:pPr>
      <w:r w:rsidRPr="00F276E7">
        <w:rPr>
          <w:sz w:val="22"/>
          <w:szCs w:val="22"/>
        </w:rPr>
        <w:t xml:space="preserve">Friedman, M. &amp; Friedman, R. 1990. Free to Choose: A Personal Statement. Mariner Books. </w:t>
      </w:r>
    </w:p>
    <w:p w14:paraId="3C55E541" w14:textId="095DC3B2" w:rsidR="00820190" w:rsidRPr="00F276E7" w:rsidRDefault="00820190" w:rsidP="00F276E7">
      <w:pPr>
        <w:widowControl w:val="0"/>
        <w:autoSpaceDE w:val="0"/>
        <w:autoSpaceDN w:val="0"/>
        <w:adjustRightInd w:val="0"/>
        <w:snapToGrid w:val="0"/>
        <w:spacing w:line="480" w:lineRule="auto"/>
        <w:ind w:left="360" w:hanging="360"/>
        <w:rPr>
          <w:sz w:val="22"/>
          <w:szCs w:val="22"/>
        </w:rPr>
      </w:pPr>
      <w:r w:rsidRPr="00F276E7">
        <w:rPr>
          <w:sz w:val="22"/>
          <w:szCs w:val="22"/>
        </w:rPr>
        <w:t>Gao</w:t>
      </w:r>
      <w:r w:rsidR="0076733F" w:rsidRPr="00F276E7">
        <w:rPr>
          <w:sz w:val="22"/>
          <w:szCs w:val="22"/>
        </w:rPr>
        <w:t>, H</w:t>
      </w:r>
      <w:r w:rsidR="005A44C8" w:rsidRPr="00F276E7">
        <w:rPr>
          <w:sz w:val="22"/>
          <w:szCs w:val="22"/>
        </w:rPr>
        <w:t>.</w:t>
      </w:r>
      <w:r w:rsidR="0076733F" w:rsidRPr="00F276E7">
        <w:rPr>
          <w:sz w:val="22"/>
          <w:szCs w:val="22"/>
        </w:rPr>
        <w:t>, Xie</w:t>
      </w:r>
      <w:r w:rsidR="005A44C8" w:rsidRPr="00F276E7">
        <w:rPr>
          <w:sz w:val="22"/>
          <w:szCs w:val="22"/>
        </w:rPr>
        <w:t>, J.,</w:t>
      </w:r>
      <w:r w:rsidR="0076733F" w:rsidRPr="00F276E7">
        <w:rPr>
          <w:sz w:val="22"/>
          <w:szCs w:val="22"/>
        </w:rPr>
        <w:t xml:space="preserve"> Wang,</w:t>
      </w:r>
      <w:r w:rsidR="005A44C8" w:rsidRPr="00F276E7">
        <w:rPr>
          <w:sz w:val="22"/>
          <w:szCs w:val="22"/>
        </w:rPr>
        <w:t xml:space="preserve"> Q.,</w:t>
      </w:r>
      <w:r w:rsidR="0076733F" w:rsidRPr="00F276E7">
        <w:rPr>
          <w:sz w:val="22"/>
          <w:szCs w:val="22"/>
        </w:rPr>
        <w:t xml:space="preserve"> </w:t>
      </w:r>
      <w:r w:rsidR="005A44C8" w:rsidRPr="00F276E7">
        <w:rPr>
          <w:sz w:val="22"/>
          <w:szCs w:val="22"/>
        </w:rPr>
        <w:t xml:space="preserve">&amp; </w:t>
      </w:r>
      <w:r w:rsidR="0076733F" w:rsidRPr="00F276E7">
        <w:rPr>
          <w:sz w:val="22"/>
          <w:szCs w:val="22"/>
        </w:rPr>
        <w:t>Wilbur</w:t>
      </w:r>
      <w:r w:rsidR="005A44C8" w:rsidRPr="00F276E7">
        <w:rPr>
          <w:sz w:val="22"/>
          <w:szCs w:val="22"/>
        </w:rPr>
        <w:t>, K. C.</w:t>
      </w:r>
      <w:r w:rsidR="0076733F" w:rsidRPr="00F276E7">
        <w:rPr>
          <w:sz w:val="22"/>
          <w:szCs w:val="22"/>
        </w:rPr>
        <w:t xml:space="preserve"> 2015</w:t>
      </w:r>
      <w:r w:rsidR="005A44C8" w:rsidRPr="00F276E7">
        <w:rPr>
          <w:sz w:val="22"/>
          <w:szCs w:val="22"/>
        </w:rPr>
        <w:t>.</w:t>
      </w:r>
      <w:r w:rsidR="0076733F" w:rsidRPr="00F276E7">
        <w:rPr>
          <w:sz w:val="22"/>
          <w:szCs w:val="22"/>
        </w:rPr>
        <w:t xml:space="preserve"> Should ad spending increase or decrease before a recall announcement? The marketing-finance interface in product harm crisis management</w:t>
      </w:r>
      <w:r w:rsidR="005A44C8" w:rsidRPr="00F276E7">
        <w:rPr>
          <w:sz w:val="22"/>
          <w:szCs w:val="22"/>
        </w:rPr>
        <w:t>.</w:t>
      </w:r>
      <w:r w:rsidR="0076733F" w:rsidRPr="00F276E7">
        <w:rPr>
          <w:sz w:val="22"/>
          <w:szCs w:val="22"/>
        </w:rPr>
        <w:t xml:space="preserve"> </w:t>
      </w:r>
      <w:r w:rsidR="0076733F" w:rsidRPr="00F276E7">
        <w:rPr>
          <w:i/>
          <w:sz w:val="22"/>
          <w:szCs w:val="22"/>
        </w:rPr>
        <w:t>Journal of Marketing</w:t>
      </w:r>
      <w:r w:rsidR="0076733F" w:rsidRPr="00F276E7">
        <w:rPr>
          <w:sz w:val="22"/>
          <w:szCs w:val="22"/>
        </w:rPr>
        <w:t>, 79(5)</w:t>
      </w:r>
      <w:r w:rsidR="005A44C8" w:rsidRPr="00F276E7">
        <w:rPr>
          <w:sz w:val="22"/>
          <w:szCs w:val="22"/>
        </w:rPr>
        <w:t>:</w:t>
      </w:r>
      <w:r w:rsidR="0076733F" w:rsidRPr="00F276E7">
        <w:rPr>
          <w:sz w:val="22"/>
          <w:szCs w:val="22"/>
        </w:rPr>
        <w:t xml:space="preserve"> 80-99. </w:t>
      </w:r>
    </w:p>
    <w:p w14:paraId="2868C8D7" w14:textId="252B8196" w:rsidR="001C177B" w:rsidRPr="00F276E7" w:rsidRDefault="001C177B" w:rsidP="00F276E7">
      <w:pPr>
        <w:widowControl w:val="0"/>
        <w:autoSpaceDE w:val="0"/>
        <w:autoSpaceDN w:val="0"/>
        <w:adjustRightInd w:val="0"/>
        <w:snapToGrid w:val="0"/>
        <w:spacing w:line="480" w:lineRule="auto"/>
        <w:ind w:left="360" w:hanging="360"/>
        <w:rPr>
          <w:sz w:val="22"/>
          <w:szCs w:val="22"/>
        </w:rPr>
      </w:pPr>
      <w:proofErr w:type="spellStart"/>
      <w:r w:rsidRPr="00F276E7">
        <w:rPr>
          <w:sz w:val="22"/>
          <w:szCs w:val="22"/>
        </w:rPr>
        <w:t>Gerschewski</w:t>
      </w:r>
      <w:proofErr w:type="spellEnd"/>
      <w:r w:rsidRPr="00F276E7">
        <w:rPr>
          <w:sz w:val="22"/>
          <w:szCs w:val="22"/>
        </w:rPr>
        <w:t xml:space="preserve">, S., Rose, E. L., &amp; Lindsay, V. J. 2015. Understanding the drivers of international performance for born global firms: An integrated perspective. </w:t>
      </w:r>
      <w:r w:rsidRPr="00F276E7">
        <w:rPr>
          <w:i/>
          <w:iCs/>
          <w:sz w:val="22"/>
          <w:szCs w:val="22"/>
        </w:rPr>
        <w:t>Journal of World Business</w:t>
      </w:r>
      <w:r w:rsidRPr="00F276E7">
        <w:rPr>
          <w:sz w:val="22"/>
          <w:szCs w:val="22"/>
        </w:rPr>
        <w:t xml:space="preserve">, 50(3), 558-575. </w:t>
      </w:r>
    </w:p>
    <w:p w14:paraId="10641D2B" w14:textId="0A75D2A1" w:rsidR="00096440" w:rsidRPr="00F276E7" w:rsidRDefault="00096440" w:rsidP="00F276E7">
      <w:pPr>
        <w:widowControl w:val="0"/>
        <w:snapToGrid w:val="0"/>
        <w:spacing w:line="480" w:lineRule="auto"/>
        <w:rPr>
          <w:rFonts w:cs="Times-Roman"/>
          <w:sz w:val="22"/>
          <w:szCs w:val="22"/>
        </w:rPr>
      </w:pPr>
      <w:r w:rsidRPr="00F276E7">
        <w:rPr>
          <w:rFonts w:cs="Times-Roman"/>
          <w:sz w:val="22"/>
          <w:szCs w:val="22"/>
        </w:rPr>
        <w:lastRenderedPageBreak/>
        <w:t>German, J</w:t>
      </w:r>
      <w:r w:rsidR="005A44C8" w:rsidRPr="00F276E7">
        <w:rPr>
          <w:rFonts w:cs="Times-Roman"/>
          <w:sz w:val="22"/>
          <w:szCs w:val="22"/>
        </w:rPr>
        <w:t xml:space="preserve">. </w:t>
      </w:r>
      <w:r w:rsidRPr="00F276E7">
        <w:rPr>
          <w:rFonts w:cs="Times-Roman"/>
          <w:sz w:val="22"/>
          <w:szCs w:val="22"/>
        </w:rPr>
        <w:t xml:space="preserve">M. </w:t>
      </w:r>
      <w:r w:rsidR="0060376D" w:rsidRPr="00F276E7">
        <w:rPr>
          <w:rFonts w:cs="Times-Roman"/>
          <w:sz w:val="22"/>
          <w:szCs w:val="22"/>
        </w:rPr>
        <w:t>2004</w:t>
      </w:r>
      <w:r w:rsidR="005A44C8" w:rsidRPr="00F276E7">
        <w:rPr>
          <w:rFonts w:cs="Times-Roman"/>
          <w:sz w:val="22"/>
          <w:szCs w:val="22"/>
        </w:rPr>
        <w:t>.</w:t>
      </w:r>
      <w:r w:rsidRPr="00F276E7">
        <w:rPr>
          <w:rFonts w:cs="Times-Roman"/>
          <w:sz w:val="22"/>
          <w:szCs w:val="22"/>
        </w:rPr>
        <w:t xml:space="preserve"> </w:t>
      </w:r>
      <w:r w:rsidR="0060376D" w:rsidRPr="00F276E7">
        <w:rPr>
          <w:rFonts w:cs="Times-Roman"/>
          <w:sz w:val="22"/>
          <w:szCs w:val="22"/>
        </w:rPr>
        <w:t>Hybrid Electric Vehicles</w:t>
      </w:r>
      <w:r w:rsidR="005A44C8" w:rsidRPr="00F276E7">
        <w:rPr>
          <w:rFonts w:cs="Times-Roman"/>
          <w:sz w:val="22"/>
          <w:szCs w:val="22"/>
        </w:rPr>
        <w:t>.</w:t>
      </w:r>
      <w:r w:rsidRPr="00F276E7">
        <w:rPr>
          <w:rFonts w:cs="Times-Roman"/>
          <w:sz w:val="22"/>
          <w:szCs w:val="22"/>
        </w:rPr>
        <w:t xml:space="preserve"> </w:t>
      </w:r>
      <w:r w:rsidRPr="00F276E7">
        <w:rPr>
          <w:rFonts w:cs="Times-Roman"/>
          <w:i/>
          <w:sz w:val="22"/>
          <w:szCs w:val="22"/>
        </w:rPr>
        <w:t>Encyclopedia of Energy</w:t>
      </w:r>
      <w:r w:rsidRPr="00F276E7">
        <w:rPr>
          <w:rFonts w:cs="Times-Roman"/>
          <w:sz w:val="22"/>
          <w:szCs w:val="22"/>
        </w:rPr>
        <w:t>, 3</w:t>
      </w:r>
      <w:r w:rsidR="005A44C8" w:rsidRPr="00F276E7">
        <w:rPr>
          <w:rFonts w:cs="Times-Roman"/>
          <w:sz w:val="22"/>
          <w:szCs w:val="22"/>
        </w:rPr>
        <w:t>:</w:t>
      </w:r>
      <w:r w:rsidRPr="00F276E7">
        <w:rPr>
          <w:rFonts w:cs="Times-Roman"/>
          <w:sz w:val="22"/>
          <w:szCs w:val="22"/>
        </w:rPr>
        <w:t xml:space="preserve"> 197-213.</w:t>
      </w:r>
    </w:p>
    <w:p w14:paraId="35C2CD05" w14:textId="5523C70C" w:rsidR="00AD2785" w:rsidRPr="00F276E7" w:rsidRDefault="00AD2785" w:rsidP="00F276E7">
      <w:pPr>
        <w:widowControl w:val="0"/>
        <w:snapToGrid w:val="0"/>
        <w:spacing w:line="480" w:lineRule="auto"/>
        <w:ind w:left="360" w:hanging="360"/>
        <w:rPr>
          <w:sz w:val="22"/>
          <w:szCs w:val="22"/>
        </w:rPr>
      </w:pPr>
      <w:r w:rsidRPr="00F276E7">
        <w:rPr>
          <w:sz w:val="22"/>
          <w:szCs w:val="22"/>
        </w:rPr>
        <w:t xml:space="preserve">Gibbs, N. </w:t>
      </w:r>
      <w:r w:rsidR="005A44C8" w:rsidRPr="00F276E7">
        <w:rPr>
          <w:sz w:val="22"/>
          <w:szCs w:val="22"/>
        </w:rPr>
        <w:t xml:space="preserve">March 6, 2014. </w:t>
      </w:r>
      <w:r w:rsidR="00096440" w:rsidRPr="00F276E7">
        <w:rPr>
          <w:sz w:val="22"/>
          <w:szCs w:val="22"/>
        </w:rPr>
        <w:t>Toyota, PSA benefit from rising European demand for hybrids</w:t>
      </w:r>
      <w:r w:rsidR="005A44C8" w:rsidRPr="00F276E7">
        <w:rPr>
          <w:sz w:val="22"/>
          <w:szCs w:val="22"/>
        </w:rPr>
        <w:t>.</w:t>
      </w:r>
      <w:r w:rsidR="00096440" w:rsidRPr="00F276E7">
        <w:rPr>
          <w:sz w:val="22"/>
          <w:szCs w:val="22"/>
        </w:rPr>
        <w:t xml:space="preserve"> Autom</w:t>
      </w:r>
      <w:r w:rsidR="004C1521" w:rsidRPr="00F276E7">
        <w:rPr>
          <w:sz w:val="22"/>
          <w:szCs w:val="22"/>
        </w:rPr>
        <w:t>o</w:t>
      </w:r>
      <w:r w:rsidR="00096440" w:rsidRPr="00F276E7">
        <w:rPr>
          <w:sz w:val="22"/>
          <w:szCs w:val="22"/>
        </w:rPr>
        <w:t>tive News Europe, Accessed: September 30, 2015.</w:t>
      </w:r>
    </w:p>
    <w:p w14:paraId="0D35CAC6" w14:textId="5E782130" w:rsidR="00FB633F" w:rsidRPr="00F276E7" w:rsidRDefault="00FB633F" w:rsidP="00F276E7">
      <w:pPr>
        <w:widowControl w:val="0"/>
        <w:snapToGrid w:val="0"/>
        <w:spacing w:line="480" w:lineRule="auto"/>
        <w:ind w:left="360" w:hanging="360"/>
        <w:rPr>
          <w:sz w:val="22"/>
          <w:szCs w:val="22"/>
        </w:rPr>
      </w:pPr>
      <w:r w:rsidRPr="00F276E7">
        <w:rPr>
          <w:sz w:val="22"/>
          <w:szCs w:val="22"/>
        </w:rPr>
        <w:t xml:space="preserve">Gioia, D. A. (1992). Pinto fires and personal ethics: A script analysis of missed opportunities. </w:t>
      </w:r>
      <w:r w:rsidRPr="00F276E7">
        <w:rPr>
          <w:i/>
          <w:iCs/>
          <w:sz w:val="22"/>
          <w:szCs w:val="22"/>
        </w:rPr>
        <w:t>Journal of Business Ethics</w:t>
      </w:r>
      <w:r w:rsidRPr="00F276E7">
        <w:rPr>
          <w:sz w:val="22"/>
          <w:szCs w:val="22"/>
        </w:rPr>
        <w:t xml:space="preserve">, </w:t>
      </w:r>
      <w:r w:rsidRPr="00F276E7">
        <w:rPr>
          <w:i/>
          <w:iCs/>
          <w:sz w:val="22"/>
          <w:szCs w:val="22"/>
        </w:rPr>
        <w:t>11</w:t>
      </w:r>
      <w:r w:rsidRPr="00F276E7">
        <w:rPr>
          <w:sz w:val="22"/>
          <w:szCs w:val="22"/>
        </w:rPr>
        <w:t>, 379-389.</w:t>
      </w:r>
    </w:p>
    <w:p w14:paraId="2957BD8D" w14:textId="343FCFFA" w:rsidR="008C3934" w:rsidRPr="00F276E7" w:rsidRDefault="008C3934" w:rsidP="00F276E7">
      <w:pPr>
        <w:widowControl w:val="0"/>
        <w:snapToGrid w:val="0"/>
        <w:spacing w:line="480" w:lineRule="auto"/>
        <w:ind w:left="360" w:hanging="360"/>
        <w:rPr>
          <w:sz w:val="22"/>
          <w:szCs w:val="22"/>
        </w:rPr>
      </w:pPr>
      <w:proofErr w:type="spellStart"/>
      <w:r w:rsidRPr="00F276E7">
        <w:rPr>
          <w:color w:val="222222"/>
          <w:sz w:val="22"/>
          <w:szCs w:val="22"/>
          <w:shd w:val="clear" w:color="auto" w:fill="FFFFFF"/>
        </w:rPr>
        <w:t>Gostin</w:t>
      </w:r>
      <w:proofErr w:type="spellEnd"/>
      <w:r w:rsidRPr="00F276E7">
        <w:rPr>
          <w:color w:val="222222"/>
          <w:sz w:val="22"/>
          <w:szCs w:val="22"/>
          <w:shd w:val="clear" w:color="auto" w:fill="FFFFFF"/>
        </w:rPr>
        <w:t>, L. O., Cohen, I. G., &amp; Koplan, J. P.</w:t>
      </w:r>
      <w:r w:rsidR="00D330B3" w:rsidRPr="00F276E7">
        <w:rPr>
          <w:color w:val="222222"/>
          <w:sz w:val="22"/>
          <w:szCs w:val="22"/>
          <w:shd w:val="clear" w:color="auto" w:fill="FFFFFF"/>
        </w:rPr>
        <w:t xml:space="preserve"> </w:t>
      </w:r>
      <w:r w:rsidRPr="00F276E7">
        <w:rPr>
          <w:color w:val="222222"/>
          <w:sz w:val="22"/>
          <w:szCs w:val="22"/>
          <w:shd w:val="clear" w:color="auto" w:fill="FFFFFF"/>
        </w:rPr>
        <w:t xml:space="preserve">2020. Universal masking in the </w:t>
      </w:r>
      <w:r w:rsidR="000A1B0A" w:rsidRPr="00F276E7">
        <w:rPr>
          <w:color w:val="222222"/>
          <w:sz w:val="22"/>
          <w:szCs w:val="22"/>
          <w:shd w:val="clear" w:color="auto" w:fill="FFFFFF"/>
        </w:rPr>
        <w:t>U.S</w:t>
      </w:r>
      <w:r w:rsidRPr="00F276E7">
        <w:rPr>
          <w:color w:val="222222"/>
          <w:sz w:val="22"/>
          <w:szCs w:val="22"/>
          <w:shd w:val="clear" w:color="auto" w:fill="FFFFFF"/>
        </w:rPr>
        <w:t>: the role of mandates, health education, and the CDC. </w:t>
      </w:r>
      <w:r w:rsidRPr="00F276E7">
        <w:rPr>
          <w:i/>
          <w:iCs/>
          <w:color w:val="222222"/>
          <w:sz w:val="22"/>
          <w:szCs w:val="22"/>
          <w:shd w:val="clear" w:color="auto" w:fill="FFFFFF"/>
        </w:rPr>
        <w:t>Jama</w:t>
      </w:r>
      <w:r w:rsidRPr="00F276E7">
        <w:rPr>
          <w:color w:val="222222"/>
          <w:sz w:val="22"/>
          <w:szCs w:val="22"/>
          <w:shd w:val="clear" w:color="auto" w:fill="FFFFFF"/>
        </w:rPr>
        <w:t>, 324(9)</w:t>
      </w:r>
      <w:r w:rsidR="005A44C8" w:rsidRPr="00F276E7">
        <w:rPr>
          <w:color w:val="222222"/>
          <w:sz w:val="22"/>
          <w:szCs w:val="22"/>
          <w:shd w:val="clear" w:color="auto" w:fill="FFFFFF"/>
        </w:rPr>
        <w:t>:</w:t>
      </w:r>
      <w:r w:rsidRPr="00F276E7">
        <w:rPr>
          <w:color w:val="222222"/>
          <w:sz w:val="22"/>
          <w:szCs w:val="22"/>
          <w:shd w:val="clear" w:color="auto" w:fill="FFFFFF"/>
        </w:rPr>
        <w:t xml:space="preserve"> 837-838.</w:t>
      </w:r>
    </w:p>
    <w:p w14:paraId="6BDF624F" w14:textId="27957847" w:rsidR="001C5B31" w:rsidRPr="00F276E7" w:rsidRDefault="001C5B31" w:rsidP="00F276E7">
      <w:pPr>
        <w:widowControl w:val="0"/>
        <w:snapToGrid w:val="0"/>
        <w:spacing w:line="480" w:lineRule="auto"/>
        <w:ind w:left="360" w:hanging="360"/>
        <w:rPr>
          <w:sz w:val="22"/>
          <w:szCs w:val="22"/>
        </w:rPr>
      </w:pPr>
      <w:r w:rsidRPr="00F276E7">
        <w:rPr>
          <w:sz w:val="22"/>
          <w:szCs w:val="22"/>
        </w:rPr>
        <w:t>Grein, A</w:t>
      </w:r>
      <w:r w:rsidR="005A44C8" w:rsidRPr="00F276E7">
        <w:rPr>
          <w:sz w:val="22"/>
          <w:szCs w:val="22"/>
        </w:rPr>
        <w:t>.</w:t>
      </w:r>
      <w:r w:rsidRPr="00F276E7">
        <w:rPr>
          <w:sz w:val="22"/>
          <w:szCs w:val="22"/>
        </w:rPr>
        <w:t xml:space="preserve">, </w:t>
      </w:r>
      <w:r w:rsidR="0060376D" w:rsidRPr="00F276E7">
        <w:rPr>
          <w:sz w:val="22"/>
          <w:szCs w:val="22"/>
        </w:rPr>
        <w:t>Craig</w:t>
      </w:r>
      <w:r w:rsidRPr="00F276E7">
        <w:rPr>
          <w:sz w:val="22"/>
          <w:szCs w:val="22"/>
        </w:rPr>
        <w:t xml:space="preserve">, </w:t>
      </w:r>
      <w:r w:rsidR="005A44C8" w:rsidRPr="00F276E7">
        <w:rPr>
          <w:sz w:val="22"/>
          <w:szCs w:val="22"/>
        </w:rPr>
        <w:t>S., &amp;</w:t>
      </w:r>
      <w:r w:rsidRPr="00F276E7">
        <w:rPr>
          <w:sz w:val="22"/>
          <w:szCs w:val="22"/>
        </w:rPr>
        <w:t xml:space="preserve"> </w:t>
      </w:r>
      <w:r w:rsidR="0060376D" w:rsidRPr="00F276E7">
        <w:rPr>
          <w:sz w:val="22"/>
          <w:szCs w:val="22"/>
        </w:rPr>
        <w:t>Takada</w:t>
      </w:r>
      <w:r w:rsidR="005A44C8" w:rsidRPr="00F276E7">
        <w:rPr>
          <w:sz w:val="22"/>
          <w:szCs w:val="22"/>
        </w:rPr>
        <w:t>, H.</w:t>
      </w:r>
      <w:r w:rsidR="0060376D" w:rsidRPr="00F276E7">
        <w:rPr>
          <w:sz w:val="22"/>
          <w:szCs w:val="22"/>
        </w:rPr>
        <w:t xml:space="preserve"> 200</w:t>
      </w:r>
      <w:r w:rsidR="005A44C8" w:rsidRPr="00F276E7">
        <w:rPr>
          <w:sz w:val="22"/>
          <w:szCs w:val="22"/>
        </w:rPr>
        <w:t>1.</w:t>
      </w:r>
      <w:r w:rsidRPr="00F276E7">
        <w:rPr>
          <w:sz w:val="22"/>
          <w:szCs w:val="22"/>
        </w:rPr>
        <w:t xml:space="preserve"> Integration and Responsiveness: Marketing Strategies of Japanese and Eu</w:t>
      </w:r>
      <w:r w:rsidR="0060376D" w:rsidRPr="00F276E7">
        <w:rPr>
          <w:sz w:val="22"/>
          <w:szCs w:val="22"/>
        </w:rPr>
        <w:t>ropean Automobile Manufacturers</w:t>
      </w:r>
      <w:r w:rsidR="005A44C8" w:rsidRPr="00F276E7">
        <w:rPr>
          <w:sz w:val="22"/>
          <w:szCs w:val="22"/>
        </w:rPr>
        <w:t>.</w:t>
      </w:r>
      <w:r w:rsidRPr="00F276E7">
        <w:rPr>
          <w:sz w:val="22"/>
          <w:szCs w:val="22"/>
        </w:rPr>
        <w:t xml:space="preserve"> </w:t>
      </w:r>
      <w:r w:rsidRPr="00F276E7">
        <w:rPr>
          <w:i/>
          <w:sz w:val="22"/>
          <w:szCs w:val="22"/>
        </w:rPr>
        <w:t>Journal of International Marketing</w:t>
      </w:r>
      <w:r w:rsidRPr="00F276E7">
        <w:rPr>
          <w:sz w:val="22"/>
          <w:szCs w:val="22"/>
        </w:rPr>
        <w:t>, 9</w:t>
      </w:r>
      <w:r w:rsidR="0060376D" w:rsidRPr="00F276E7">
        <w:rPr>
          <w:sz w:val="22"/>
          <w:szCs w:val="22"/>
        </w:rPr>
        <w:t xml:space="preserve"> (2),</w:t>
      </w:r>
      <w:r w:rsidRPr="00F276E7">
        <w:rPr>
          <w:sz w:val="22"/>
          <w:szCs w:val="22"/>
        </w:rPr>
        <w:t xml:space="preserve"> 19-50.</w:t>
      </w:r>
    </w:p>
    <w:p w14:paraId="5478A24E" w14:textId="63C489D1" w:rsidR="00E95F35" w:rsidRPr="00F276E7" w:rsidRDefault="00E95F35" w:rsidP="00F276E7">
      <w:pPr>
        <w:widowControl w:val="0"/>
        <w:snapToGrid w:val="0"/>
        <w:spacing w:line="480" w:lineRule="auto"/>
        <w:ind w:left="360" w:hanging="360"/>
        <w:rPr>
          <w:sz w:val="22"/>
          <w:szCs w:val="22"/>
        </w:rPr>
      </w:pPr>
      <w:r w:rsidRPr="00F276E7">
        <w:rPr>
          <w:color w:val="222222"/>
          <w:sz w:val="22"/>
          <w:szCs w:val="22"/>
          <w:shd w:val="clear" w:color="auto" w:fill="FFFFFF"/>
        </w:rPr>
        <w:t>Hafner-Eaton, C., &amp; Pearce, L. K. 1994. Birth choices, the law, and medicine: balancing individual freedoms and protection of the public's health. </w:t>
      </w:r>
      <w:r w:rsidRPr="00F276E7">
        <w:rPr>
          <w:i/>
          <w:iCs/>
          <w:color w:val="222222"/>
          <w:sz w:val="22"/>
          <w:szCs w:val="22"/>
          <w:shd w:val="clear" w:color="auto" w:fill="FFFFFF"/>
        </w:rPr>
        <w:t>Journal of Health Politics, Policy and Law</w:t>
      </w:r>
      <w:r w:rsidRPr="00F276E7">
        <w:rPr>
          <w:color w:val="222222"/>
          <w:sz w:val="22"/>
          <w:szCs w:val="22"/>
          <w:shd w:val="clear" w:color="auto" w:fill="FFFFFF"/>
        </w:rPr>
        <w:t>, 19(4)</w:t>
      </w:r>
      <w:r w:rsidR="005A44C8" w:rsidRPr="00F276E7">
        <w:rPr>
          <w:color w:val="222222"/>
          <w:sz w:val="22"/>
          <w:szCs w:val="22"/>
          <w:shd w:val="clear" w:color="auto" w:fill="FFFFFF"/>
        </w:rPr>
        <w:t>:</w:t>
      </w:r>
      <w:r w:rsidRPr="00F276E7">
        <w:rPr>
          <w:color w:val="222222"/>
          <w:sz w:val="22"/>
          <w:szCs w:val="22"/>
          <w:shd w:val="clear" w:color="auto" w:fill="FFFFFF"/>
        </w:rPr>
        <w:t xml:space="preserve"> 813-835.</w:t>
      </w:r>
    </w:p>
    <w:p w14:paraId="74C224D2" w14:textId="47ED26BD" w:rsidR="005504A6" w:rsidRPr="00F276E7" w:rsidRDefault="005504A6" w:rsidP="00F276E7">
      <w:pPr>
        <w:widowControl w:val="0"/>
        <w:snapToGrid w:val="0"/>
        <w:spacing w:line="480" w:lineRule="auto"/>
        <w:ind w:left="360" w:hanging="360"/>
        <w:rPr>
          <w:sz w:val="22"/>
          <w:szCs w:val="22"/>
        </w:rPr>
      </w:pPr>
      <w:r w:rsidRPr="00F276E7">
        <w:rPr>
          <w:sz w:val="22"/>
          <w:szCs w:val="22"/>
        </w:rPr>
        <w:t>Haunschild, P</w:t>
      </w:r>
      <w:r w:rsidR="005A44C8" w:rsidRPr="00F276E7">
        <w:rPr>
          <w:sz w:val="22"/>
          <w:szCs w:val="22"/>
        </w:rPr>
        <w:t xml:space="preserve">. </w:t>
      </w:r>
      <w:r w:rsidR="00F02AFC" w:rsidRPr="00F276E7">
        <w:rPr>
          <w:sz w:val="22"/>
          <w:szCs w:val="22"/>
        </w:rPr>
        <w:t>R.</w:t>
      </w:r>
      <w:r w:rsidR="00036753" w:rsidRPr="00F276E7">
        <w:rPr>
          <w:sz w:val="22"/>
          <w:szCs w:val="22"/>
        </w:rPr>
        <w:t>,</w:t>
      </w:r>
      <w:r w:rsidR="00F02AFC" w:rsidRPr="00F276E7">
        <w:rPr>
          <w:sz w:val="22"/>
          <w:szCs w:val="22"/>
        </w:rPr>
        <w:t xml:space="preserve"> </w:t>
      </w:r>
      <w:r w:rsidR="005A44C8" w:rsidRPr="00F276E7">
        <w:rPr>
          <w:sz w:val="22"/>
          <w:szCs w:val="22"/>
        </w:rPr>
        <w:t>&amp;</w:t>
      </w:r>
      <w:r w:rsidR="00F02AFC" w:rsidRPr="00F276E7">
        <w:rPr>
          <w:sz w:val="22"/>
          <w:szCs w:val="22"/>
        </w:rPr>
        <w:t xml:space="preserve"> Rhee</w:t>
      </w:r>
      <w:r w:rsidR="00036753" w:rsidRPr="00F276E7">
        <w:rPr>
          <w:sz w:val="22"/>
          <w:szCs w:val="22"/>
        </w:rPr>
        <w:t>, M.</w:t>
      </w:r>
      <w:r w:rsidRPr="00F276E7">
        <w:rPr>
          <w:sz w:val="22"/>
          <w:szCs w:val="22"/>
        </w:rPr>
        <w:t xml:space="preserve"> </w:t>
      </w:r>
      <w:r w:rsidR="00F02AFC" w:rsidRPr="00F276E7">
        <w:rPr>
          <w:sz w:val="22"/>
          <w:szCs w:val="22"/>
        </w:rPr>
        <w:t>2004</w:t>
      </w:r>
      <w:r w:rsidR="00036753" w:rsidRPr="00F276E7">
        <w:rPr>
          <w:sz w:val="22"/>
          <w:szCs w:val="22"/>
        </w:rPr>
        <w:t>.</w:t>
      </w:r>
      <w:r w:rsidRPr="00F276E7">
        <w:rPr>
          <w:sz w:val="22"/>
          <w:szCs w:val="22"/>
        </w:rPr>
        <w:t xml:space="preserve"> The Role of Volition in Organizational Learning: The Ca</w:t>
      </w:r>
      <w:r w:rsidR="00F02AFC" w:rsidRPr="00F276E7">
        <w:rPr>
          <w:sz w:val="22"/>
          <w:szCs w:val="22"/>
        </w:rPr>
        <w:t>se of Automotive Product Recalls</w:t>
      </w:r>
      <w:r w:rsidR="00036753" w:rsidRPr="00F276E7">
        <w:rPr>
          <w:sz w:val="22"/>
          <w:szCs w:val="22"/>
        </w:rPr>
        <w:t>.</w:t>
      </w:r>
      <w:r w:rsidRPr="00F276E7">
        <w:rPr>
          <w:sz w:val="22"/>
          <w:szCs w:val="22"/>
        </w:rPr>
        <w:t xml:space="preserve"> </w:t>
      </w:r>
      <w:r w:rsidR="00774EF5" w:rsidRPr="00F276E7">
        <w:rPr>
          <w:i/>
          <w:sz w:val="22"/>
          <w:szCs w:val="22"/>
        </w:rPr>
        <w:t>Management Science</w:t>
      </w:r>
      <w:r w:rsidR="00F02AFC" w:rsidRPr="00F276E7">
        <w:rPr>
          <w:sz w:val="22"/>
          <w:szCs w:val="22"/>
        </w:rPr>
        <w:t>, 50(11)</w:t>
      </w:r>
      <w:r w:rsidR="00036753" w:rsidRPr="00F276E7">
        <w:rPr>
          <w:sz w:val="22"/>
          <w:szCs w:val="22"/>
        </w:rPr>
        <w:t>:</w:t>
      </w:r>
      <w:r w:rsidRPr="00F276E7">
        <w:rPr>
          <w:sz w:val="22"/>
          <w:szCs w:val="22"/>
        </w:rPr>
        <w:t xml:space="preserve"> 1545-</w:t>
      </w:r>
      <w:r w:rsidR="00036753" w:rsidRPr="00F276E7">
        <w:rPr>
          <w:sz w:val="22"/>
          <w:szCs w:val="22"/>
        </w:rPr>
        <w:t>15</w:t>
      </w:r>
      <w:r w:rsidRPr="00F276E7">
        <w:rPr>
          <w:sz w:val="22"/>
          <w:szCs w:val="22"/>
        </w:rPr>
        <w:t>60.</w:t>
      </w:r>
    </w:p>
    <w:p w14:paraId="6DC10CFC" w14:textId="0590D190" w:rsidR="000D63CB" w:rsidRPr="00F276E7" w:rsidRDefault="000D63CB" w:rsidP="00F276E7">
      <w:pPr>
        <w:widowControl w:val="0"/>
        <w:snapToGrid w:val="0"/>
        <w:spacing w:line="480" w:lineRule="auto"/>
        <w:ind w:left="360" w:hanging="360"/>
        <w:rPr>
          <w:sz w:val="22"/>
          <w:szCs w:val="22"/>
        </w:rPr>
      </w:pPr>
      <w:bookmarkStart w:id="11" w:name="_Hlk136205363"/>
      <w:r w:rsidRPr="00F276E7">
        <w:rPr>
          <w:sz w:val="22"/>
          <w:szCs w:val="22"/>
        </w:rPr>
        <w:t>Hora</w:t>
      </w:r>
      <w:r w:rsidR="00F02AFC" w:rsidRPr="00F276E7">
        <w:rPr>
          <w:sz w:val="22"/>
          <w:szCs w:val="22"/>
        </w:rPr>
        <w:t>, M</w:t>
      </w:r>
      <w:r w:rsidR="00036753" w:rsidRPr="00F276E7">
        <w:rPr>
          <w:sz w:val="22"/>
          <w:szCs w:val="22"/>
        </w:rPr>
        <w:t>.</w:t>
      </w:r>
      <w:r w:rsidR="000E07C9" w:rsidRPr="00F276E7">
        <w:rPr>
          <w:sz w:val="22"/>
          <w:szCs w:val="22"/>
        </w:rPr>
        <w:t xml:space="preserve">, </w:t>
      </w:r>
      <w:r w:rsidR="00F02AFC" w:rsidRPr="00F276E7">
        <w:rPr>
          <w:sz w:val="22"/>
          <w:szCs w:val="22"/>
        </w:rPr>
        <w:t>Bapuji</w:t>
      </w:r>
      <w:r w:rsidR="000E07C9" w:rsidRPr="00F276E7">
        <w:rPr>
          <w:sz w:val="22"/>
          <w:szCs w:val="22"/>
        </w:rPr>
        <w:t xml:space="preserve">, </w:t>
      </w:r>
      <w:r w:rsidR="00036753" w:rsidRPr="00F276E7">
        <w:rPr>
          <w:sz w:val="22"/>
          <w:szCs w:val="22"/>
        </w:rPr>
        <w:t>H., &amp;</w:t>
      </w:r>
      <w:r w:rsidR="000E07C9" w:rsidRPr="00F276E7">
        <w:rPr>
          <w:sz w:val="22"/>
          <w:szCs w:val="22"/>
        </w:rPr>
        <w:t xml:space="preserve"> </w:t>
      </w:r>
      <w:r w:rsidRPr="00F276E7">
        <w:rPr>
          <w:sz w:val="22"/>
          <w:szCs w:val="22"/>
        </w:rPr>
        <w:t>Roth</w:t>
      </w:r>
      <w:r w:rsidR="00036753" w:rsidRPr="00F276E7">
        <w:rPr>
          <w:sz w:val="22"/>
          <w:szCs w:val="22"/>
        </w:rPr>
        <w:t>, A. V.</w:t>
      </w:r>
      <w:r w:rsidR="000E07C9" w:rsidRPr="00F276E7">
        <w:rPr>
          <w:sz w:val="22"/>
          <w:szCs w:val="22"/>
        </w:rPr>
        <w:t xml:space="preserve"> </w:t>
      </w:r>
      <w:r w:rsidR="00F02AFC" w:rsidRPr="00F276E7">
        <w:rPr>
          <w:sz w:val="22"/>
          <w:szCs w:val="22"/>
        </w:rPr>
        <w:t>2011</w:t>
      </w:r>
      <w:r w:rsidR="00036753" w:rsidRPr="00F276E7">
        <w:rPr>
          <w:sz w:val="22"/>
          <w:szCs w:val="22"/>
        </w:rPr>
        <w:t>.</w:t>
      </w:r>
      <w:r w:rsidRPr="00F276E7">
        <w:rPr>
          <w:sz w:val="22"/>
          <w:szCs w:val="22"/>
        </w:rPr>
        <w:t xml:space="preserve"> Safety hazard and time to recall: The role of recall strategy, product defect type, and supply chain player in the U.S. toy industry</w:t>
      </w:r>
      <w:r w:rsidR="00036753" w:rsidRPr="00F276E7">
        <w:rPr>
          <w:sz w:val="22"/>
          <w:szCs w:val="22"/>
        </w:rPr>
        <w:t>.</w:t>
      </w:r>
      <w:r w:rsidRPr="00F276E7">
        <w:rPr>
          <w:sz w:val="22"/>
          <w:szCs w:val="22"/>
        </w:rPr>
        <w:t xml:space="preserve"> </w:t>
      </w:r>
      <w:r w:rsidRPr="00F276E7">
        <w:rPr>
          <w:i/>
          <w:sz w:val="22"/>
          <w:szCs w:val="22"/>
        </w:rPr>
        <w:t>Journal of Operations Management</w:t>
      </w:r>
      <w:r w:rsidR="000E07C9" w:rsidRPr="00F276E7">
        <w:rPr>
          <w:sz w:val="22"/>
          <w:szCs w:val="22"/>
        </w:rPr>
        <w:t>, 29</w:t>
      </w:r>
      <w:r w:rsidR="00F02AFC" w:rsidRPr="00F276E7">
        <w:rPr>
          <w:sz w:val="22"/>
          <w:szCs w:val="22"/>
        </w:rPr>
        <w:t>(November)</w:t>
      </w:r>
      <w:r w:rsidR="00036753" w:rsidRPr="00F276E7">
        <w:rPr>
          <w:sz w:val="22"/>
          <w:szCs w:val="22"/>
        </w:rPr>
        <w:t>:</w:t>
      </w:r>
      <w:r w:rsidRPr="00F276E7">
        <w:rPr>
          <w:sz w:val="22"/>
          <w:szCs w:val="22"/>
        </w:rPr>
        <w:t xml:space="preserve"> 766-</w:t>
      </w:r>
      <w:r w:rsidR="00036753" w:rsidRPr="00F276E7">
        <w:rPr>
          <w:sz w:val="22"/>
          <w:szCs w:val="22"/>
        </w:rPr>
        <w:t>7</w:t>
      </w:r>
      <w:r w:rsidRPr="00F276E7">
        <w:rPr>
          <w:sz w:val="22"/>
          <w:szCs w:val="22"/>
        </w:rPr>
        <w:t>77.</w:t>
      </w:r>
    </w:p>
    <w:bookmarkEnd w:id="11"/>
    <w:p w14:paraId="3257ED99" w14:textId="32370447" w:rsidR="005973C7" w:rsidRPr="00F276E7" w:rsidRDefault="00D02D6B" w:rsidP="00F276E7">
      <w:pPr>
        <w:widowControl w:val="0"/>
        <w:snapToGrid w:val="0"/>
        <w:spacing w:line="480" w:lineRule="auto"/>
        <w:ind w:left="360" w:hanging="360"/>
        <w:rPr>
          <w:sz w:val="22"/>
          <w:szCs w:val="22"/>
        </w:rPr>
      </w:pPr>
      <w:r w:rsidRPr="00F276E7">
        <w:rPr>
          <w:sz w:val="22"/>
          <w:szCs w:val="22"/>
        </w:rPr>
        <w:t>Jackson, G</w:t>
      </w:r>
      <w:r w:rsidR="00036753" w:rsidRPr="00F276E7">
        <w:rPr>
          <w:sz w:val="22"/>
          <w:szCs w:val="22"/>
        </w:rPr>
        <w:t>.</w:t>
      </w:r>
      <w:r w:rsidRPr="00F276E7">
        <w:rPr>
          <w:sz w:val="22"/>
          <w:szCs w:val="22"/>
        </w:rPr>
        <w:t xml:space="preserve"> C.</w:t>
      </w:r>
      <w:r w:rsidR="00036753" w:rsidRPr="00F276E7">
        <w:rPr>
          <w:sz w:val="22"/>
          <w:szCs w:val="22"/>
        </w:rPr>
        <w:t>,</w:t>
      </w:r>
      <w:r w:rsidR="005973C7" w:rsidRPr="00F276E7">
        <w:rPr>
          <w:sz w:val="22"/>
          <w:szCs w:val="22"/>
        </w:rPr>
        <w:t xml:space="preserve"> </w:t>
      </w:r>
      <w:r w:rsidR="00036753" w:rsidRPr="00F276E7">
        <w:rPr>
          <w:sz w:val="22"/>
          <w:szCs w:val="22"/>
        </w:rPr>
        <w:t>&amp;</w:t>
      </w:r>
      <w:r w:rsidR="005973C7" w:rsidRPr="00F276E7">
        <w:rPr>
          <w:sz w:val="22"/>
          <w:szCs w:val="22"/>
        </w:rPr>
        <w:t xml:space="preserve"> </w:t>
      </w:r>
      <w:r w:rsidRPr="00F276E7">
        <w:rPr>
          <w:sz w:val="22"/>
          <w:szCs w:val="22"/>
        </w:rPr>
        <w:t>Morgan</w:t>
      </w:r>
      <w:r w:rsidR="00036753" w:rsidRPr="00F276E7">
        <w:rPr>
          <w:sz w:val="22"/>
          <w:szCs w:val="22"/>
        </w:rPr>
        <w:t>, F. W.</w:t>
      </w:r>
      <w:r w:rsidR="005973C7" w:rsidRPr="00F276E7">
        <w:rPr>
          <w:sz w:val="22"/>
          <w:szCs w:val="22"/>
        </w:rPr>
        <w:t xml:space="preserve"> 1988</w:t>
      </w:r>
      <w:r w:rsidR="00036753" w:rsidRPr="00F276E7">
        <w:rPr>
          <w:sz w:val="22"/>
          <w:szCs w:val="22"/>
        </w:rPr>
        <w:t>.</w:t>
      </w:r>
      <w:r w:rsidR="005973C7" w:rsidRPr="00F276E7">
        <w:rPr>
          <w:sz w:val="22"/>
          <w:szCs w:val="22"/>
        </w:rPr>
        <w:t xml:space="preserve"> Responding to recall requests: A strategy for managing goods withdrawal</w:t>
      </w:r>
      <w:r w:rsidR="00036753" w:rsidRPr="00F276E7">
        <w:rPr>
          <w:sz w:val="22"/>
          <w:szCs w:val="22"/>
        </w:rPr>
        <w:t>.</w:t>
      </w:r>
      <w:r w:rsidR="005973C7" w:rsidRPr="00F276E7">
        <w:rPr>
          <w:sz w:val="22"/>
          <w:szCs w:val="22"/>
        </w:rPr>
        <w:t xml:space="preserve"> </w:t>
      </w:r>
      <w:r w:rsidR="005973C7" w:rsidRPr="00F276E7">
        <w:rPr>
          <w:i/>
          <w:sz w:val="22"/>
          <w:szCs w:val="22"/>
        </w:rPr>
        <w:t xml:space="preserve">Journal of Public Policy </w:t>
      </w:r>
      <w:r w:rsidR="003F027C" w:rsidRPr="00F276E7">
        <w:rPr>
          <w:i/>
          <w:sz w:val="22"/>
          <w:szCs w:val="22"/>
        </w:rPr>
        <w:t>&amp;</w:t>
      </w:r>
      <w:r w:rsidR="005973C7" w:rsidRPr="00F276E7">
        <w:rPr>
          <w:i/>
          <w:sz w:val="22"/>
          <w:szCs w:val="22"/>
        </w:rPr>
        <w:t xml:space="preserve"> Marketing</w:t>
      </w:r>
      <w:r w:rsidRPr="00F276E7">
        <w:rPr>
          <w:sz w:val="22"/>
          <w:szCs w:val="22"/>
        </w:rPr>
        <w:t>, 7 (Special Issue on the FTC),</w:t>
      </w:r>
      <w:r w:rsidR="005973C7" w:rsidRPr="00F276E7">
        <w:rPr>
          <w:sz w:val="22"/>
          <w:szCs w:val="22"/>
        </w:rPr>
        <w:t xml:space="preserve"> 152-</w:t>
      </w:r>
      <w:r w:rsidR="00036753" w:rsidRPr="00F276E7">
        <w:rPr>
          <w:sz w:val="22"/>
          <w:szCs w:val="22"/>
        </w:rPr>
        <w:t>1</w:t>
      </w:r>
      <w:r w:rsidR="005973C7" w:rsidRPr="00F276E7">
        <w:rPr>
          <w:sz w:val="22"/>
          <w:szCs w:val="22"/>
        </w:rPr>
        <w:t xml:space="preserve">65. </w:t>
      </w:r>
    </w:p>
    <w:p w14:paraId="7242C598" w14:textId="63A51424" w:rsidR="00811ECE" w:rsidRPr="006324E2" w:rsidRDefault="00811ECE" w:rsidP="00F276E7">
      <w:pPr>
        <w:pStyle w:val="NormalWeb"/>
        <w:widowControl w:val="0"/>
        <w:snapToGrid w:val="0"/>
        <w:spacing w:before="0" w:beforeAutospacing="0" w:after="0" w:afterAutospacing="0" w:line="480" w:lineRule="auto"/>
        <w:ind w:left="360" w:hanging="360"/>
        <w:rPr>
          <w:sz w:val="22"/>
          <w:szCs w:val="22"/>
        </w:rPr>
      </w:pPr>
      <w:r w:rsidRPr="006324E2">
        <w:rPr>
          <w:sz w:val="22"/>
          <w:szCs w:val="22"/>
        </w:rPr>
        <w:t>Jarrell, G</w:t>
      </w:r>
      <w:r w:rsidR="00036753" w:rsidRPr="006324E2">
        <w:rPr>
          <w:sz w:val="22"/>
          <w:szCs w:val="22"/>
        </w:rPr>
        <w:t>.,</w:t>
      </w:r>
      <w:r w:rsidRPr="006324E2">
        <w:rPr>
          <w:sz w:val="22"/>
          <w:szCs w:val="22"/>
        </w:rPr>
        <w:t xml:space="preserve"> </w:t>
      </w:r>
      <w:r w:rsidR="00036753" w:rsidRPr="006324E2">
        <w:rPr>
          <w:sz w:val="22"/>
          <w:szCs w:val="22"/>
        </w:rPr>
        <w:t>&amp;</w:t>
      </w:r>
      <w:r w:rsidRPr="006324E2">
        <w:rPr>
          <w:sz w:val="22"/>
          <w:szCs w:val="22"/>
        </w:rPr>
        <w:t xml:space="preserve"> Peltzman</w:t>
      </w:r>
      <w:r w:rsidR="00036753" w:rsidRPr="006324E2">
        <w:rPr>
          <w:sz w:val="22"/>
          <w:szCs w:val="22"/>
        </w:rPr>
        <w:t>, S.</w:t>
      </w:r>
      <w:r w:rsidR="000E07C9" w:rsidRPr="006324E2">
        <w:rPr>
          <w:sz w:val="22"/>
          <w:szCs w:val="22"/>
        </w:rPr>
        <w:t xml:space="preserve"> </w:t>
      </w:r>
      <w:r w:rsidR="00D02D6B" w:rsidRPr="006324E2">
        <w:rPr>
          <w:sz w:val="22"/>
          <w:szCs w:val="22"/>
        </w:rPr>
        <w:t>1985</w:t>
      </w:r>
      <w:r w:rsidR="00036753" w:rsidRPr="006324E2">
        <w:rPr>
          <w:sz w:val="22"/>
          <w:szCs w:val="22"/>
        </w:rPr>
        <w:t>.</w:t>
      </w:r>
      <w:r w:rsidR="000E07C9" w:rsidRPr="006324E2">
        <w:rPr>
          <w:sz w:val="22"/>
          <w:szCs w:val="22"/>
        </w:rPr>
        <w:t xml:space="preserve"> </w:t>
      </w:r>
      <w:r w:rsidRPr="006324E2">
        <w:rPr>
          <w:sz w:val="22"/>
          <w:szCs w:val="22"/>
        </w:rPr>
        <w:t>The Impact of Product Recall</w:t>
      </w:r>
      <w:r w:rsidR="00D02D6B" w:rsidRPr="006324E2">
        <w:rPr>
          <w:sz w:val="22"/>
          <w:szCs w:val="22"/>
        </w:rPr>
        <w:t>s on the Wealth of Sellers</w:t>
      </w:r>
      <w:r w:rsidR="00036753" w:rsidRPr="006324E2">
        <w:rPr>
          <w:sz w:val="22"/>
          <w:szCs w:val="22"/>
        </w:rPr>
        <w:t>.</w:t>
      </w:r>
      <w:r w:rsidRPr="006324E2">
        <w:rPr>
          <w:sz w:val="22"/>
          <w:szCs w:val="22"/>
        </w:rPr>
        <w:t xml:space="preserve"> </w:t>
      </w:r>
      <w:r w:rsidRPr="006324E2">
        <w:rPr>
          <w:i/>
          <w:iCs/>
          <w:sz w:val="22"/>
          <w:szCs w:val="22"/>
        </w:rPr>
        <w:t>The Journal of Political Economy</w:t>
      </w:r>
      <w:r w:rsidR="00036753" w:rsidRPr="006324E2">
        <w:rPr>
          <w:i/>
          <w:iCs/>
          <w:sz w:val="22"/>
          <w:szCs w:val="22"/>
        </w:rPr>
        <w:t>,</w:t>
      </w:r>
      <w:r w:rsidRPr="006324E2">
        <w:rPr>
          <w:i/>
          <w:iCs/>
          <w:sz w:val="22"/>
          <w:szCs w:val="22"/>
        </w:rPr>
        <w:t xml:space="preserve"> </w:t>
      </w:r>
      <w:r w:rsidR="000E07C9" w:rsidRPr="006324E2">
        <w:rPr>
          <w:sz w:val="22"/>
          <w:szCs w:val="22"/>
        </w:rPr>
        <w:t>93</w:t>
      </w:r>
      <w:r w:rsidRPr="006324E2">
        <w:rPr>
          <w:sz w:val="22"/>
          <w:szCs w:val="22"/>
        </w:rPr>
        <w:t>(Jun</w:t>
      </w:r>
      <w:r w:rsidR="00E345AB" w:rsidRPr="006324E2">
        <w:rPr>
          <w:sz w:val="22"/>
          <w:szCs w:val="22"/>
        </w:rPr>
        <w:t>e</w:t>
      </w:r>
      <w:r w:rsidR="00D02D6B" w:rsidRPr="006324E2">
        <w:rPr>
          <w:sz w:val="22"/>
          <w:szCs w:val="22"/>
        </w:rPr>
        <w:t>)</w:t>
      </w:r>
      <w:r w:rsidR="00D330B3" w:rsidRPr="006324E2">
        <w:rPr>
          <w:sz w:val="22"/>
          <w:szCs w:val="22"/>
        </w:rPr>
        <w:t>:</w:t>
      </w:r>
      <w:r w:rsidR="00D02D6B" w:rsidRPr="006324E2">
        <w:rPr>
          <w:sz w:val="22"/>
          <w:szCs w:val="22"/>
        </w:rPr>
        <w:t xml:space="preserve"> </w:t>
      </w:r>
      <w:r w:rsidRPr="006324E2">
        <w:rPr>
          <w:sz w:val="22"/>
          <w:szCs w:val="22"/>
        </w:rPr>
        <w:t>512-</w:t>
      </w:r>
      <w:r w:rsidR="00036753" w:rsidRPr="006324E2">
        <w:rPr>
          <w:sz w:val="22"/>
          <w:szCs w:val="22"/>
        </w:rPr>
        <w:t>5</w:t>
      </w:r>
      <w:r w:rsidRPr="006324E2">
        <w:rPr>
          <w:sz w:val="22"/>
          <w:szCs w:val="22"/>
        </w:rPr>
        <w:t>36.</w:t>
      </w:r>
    </w:p>
    <w:p w14:paraId="422268D0" w14:textId="33E5C3AD" w:rsidR="006558D0" w:rsidRPr="006324E2" w:rsidRDefault="006468F3" w:rsidP="00F276E7">
      <w:pPr>
        <w:pStyle w:val="NormalWeb"/>
        <w:widowControl w:val="0"/>
        <w:snapToGrid w:val="0"/>
        <w:spacing w:before="0" w:beforeAutospacing="0" w:after="0" w:afterAutospacing="0" w:line="480" w:lineRule="auto"/>
        <w:ind w:left="360" w:hanging="360"/>
        <w:rPr>
          <w:sz w:val="22"/>
          <w:szCs w:val="22"/>
        </w:rPr>
      </w:pPr>
      <w:r w:rsidRPr="006324E2">
        <w:rPr>
          <w:sz w:val="22"/>
          <w:szCs w:val="22"/>
        </w:rPr>
        <w:t xml:space="preserve">Johansson, </w:t>
      </w:r>
      <w:r w:rsidR="00036753" w:rsidRPr="006324E2">
        <w:rPr>
          <w:sz w:val="22"/>
          <w:szCs w:val="22"/>
        </w:rPr>
        <w:t>J.</w:t>
      </w:r>
      <w:r w:rsidRPr="006324E2">
        <w:rPr>
          <w:sz w:val="22"/>
          <w:szCs w:val="22"/>
        </w:rPr>
        <w:t xml:space="preserve"> </w:t>
      </w:r>
      <w:r w:rsidR="006558D0" w:rsidRPr="006324E2">
        <w:rPr>
          <w:sz w:val="22"/>
          <w:szCs w:val="22"/>
        </w:rPr>
        <w:t>K.</w:t>
      </w:r>
      <w:r w:rsidR="00036753" w:rsidRPr="006324E2">
        <w:rPr>
          <w:sz w:val="22"/>
          <w:szCs w:val="22"/>
        </w:rPr>
        <w:t>,</w:t>
      </w:r>
      <w:r w:rsidR="006558D0" w:rsidRPr="006324E2">
        <w:rPr>
          <w:sz w:val="22"/>
          <w:szCs w:val="22"/>
        </w:rPr>
        <w:t xml:space="preserve"> </w:t>
      </w:r>
      <w:r w:rsidR="00036753" w:rsidRPr="006324E2">
        <w:rPr>
          <w:sz w:val="22"/>
          <w:szCs w:val="22"/>
        </w:rPr>
        <w:t>&amp;</w:t>
      </w:r>
      <w:r w:rsidR="006558D0" w:rsidRPr="006324E2">
        <w:rPr>
          <w:sz w:val="22"/>
          <w:szCs w:val="22"/>
        </w:rPr>
        <w:t xml:space="preserve"> </w:t>
      </w:r>
      <w:r w:rsidRPr="006324E2">
        <w:rPr>
          <w:sz w:val="22"/>
          <w:szCs w:val="22"/>
        </w:rPr>
        <w:t>Yip</w:t>
      </w:r>
      <w:r w:rsidR="00036753" w:rsidRPr="006324E2">
        <w:rPr>
          <w:sz w:val="22"/>
          <w:szCs w:val="22"/>
        </w:rPr>
        <w:t>, G. S.</w:t>
      </w:r>
      <w:r w:rsidRPr="006324E2">
        <w:rPr>
          <w:sz w:val="22"/>
          <w:szCs w:val="22"/>
        </w:rPr>
        <w:t xml:space="preserve"> 1994</w:t>
      </w:r>
      <w:r w:rsidR="00036753" w:rsidRPr="006324E2">
        <w:rPr>
          <w:sz w:val="22"/>
          <w:szCs w:val="22"/>
        </w:rPr>
        <w:t>.</w:t>
      </w:r>
      <w:r w:rsidR="006558D0" w:rsidRPr="006324E2">
        <w:rPr>
          <w:sz w:val="22"/>
          <w:szCs w:val="22"/>
        </w:rPr>
        <w:t xml:space="preserve"> Exploiting globalization potentia</w:t>
      </w:r>
      <w:r w:rsidRPr="006324E2">
        <w:rPr>
          <w:sz w:val="22"/>
          <w:szCs w:val="22"/>
        </w:rPr>
        <w:t>l: U.S. and Japanese strategies</w:t>
      </w:r>
      <w:r w:rsidR="00036753" w:rsidRPr="006324E2">
        <w:rPr>
          <w:sz w:val="22"/>
          <w:szCs w:val="22"/>
        </w:rPr>
        <w:t>.</w:t>
      </w:r>
      <w:r w:rsidR="006558D0" w:rsidRPr="006324E2">
        <w:rPr>
          <w:sz w:val="22"/>
          <w:szCs w:val="22"/>
        </w:rPr>
        <w:t xml:space="preserve"> </w:t>
      </w:r>
      <w:r w:rsidR="006558D0" w:rsidRPr="006324E2">
        <w:rPr>
          <w:i/>
          <w:sz w:val="22"/>
          <w:szCs w:val="22"/>
        </w:rPr>
        <w:t>Strategic Management Journal</w:t>
      </w:r>
      <w:r w:rsidR="00036753" w:rsidRPr="006324E2">
        <w:rPr>
          <w:sz w:val="22"/>
          <w:szCs w:val="22"/>
        </w:rPr>
        <w:t>.</w:t>
      </w:r>
      <w:r w:rsidR="006558D0" w:rsidRPr="006324E2">
        <w:rPr>
          <w:sz w:val="22"/>
          <w:szCs w:val="22"/>
        </w:rPr>
        <w:t xml:space="preserve"> 15(8)</w:t>
      </w:r>
      <w:r w:rsidR="00D330B3" w:rsidRPr="006324E2">
        <w:rPr>
          <w:sz w:val="22"/>
          <w:szCs w:val="22"/>
        </w:rPr>
        <w:t>:</w:t>
      </w:r>
      <w:r w:rsidR="006558D0" w:rsidRPr="006324E2">
        <w:rPr>
          <w:sz w:val="22"/>
          <w:szCs w:val="22"/>
        </w:rPr>
        <w:t xml:space="preserve"> 579-601.</w:t>
      </w:r>
    </w:p>
    <w:p w14:paraId="1870F9DD" w14:textId="0263457D" w:rsidR="002F2B0E" w:rsidRPr="006324E2" w:rsidRDefault="002F2B0E" w:rsidP="00F276E7">
      <w:pPr>
        <w:pStyle w:val="NormalWeb"/>
        <w:widowControl w:val="0"/>
        <w:snapToGrid w:val="0"/>
        <w:spacing w:before="0" w:beforeAutospacing="0" w:after="0" w:afterAutospacing="0" w:line="480" w:lineRule="auto"/>
        <w:ind w:left="360" w:hanging="360"/>
        <w:rPr>
          <w:sz w:val="22"/>
          <w:szCs w:val="22"/>
        </w:rPr>
      </w:pPr>
      <w:r w:rsidRPr="006324E2">
        <w:rPr>
          <w:sz w:val="22"/>
          <w:szCs w:val="22"/>
        </w:rPr>
        <w:t>Kalaignanam, K</w:t>
      </w:r>
      <w:r w:rsidR="00036753" w:rsidRPr="006324E2">
        <w:rPr>
          <w:sz w:val="22"/>
          <w:szCs w:val="22"/>
        </w:rPr>
        <w:t>.</w:t>
      </w:r>
      <w:r w:rsidRPr="006324E2">
        <w:rPr>
          <w:sz w:val="22"/>
          <w:szCs w:val="22"/>
        </w:rPr>
        <w:t xml:space="preserve">, Kushwaha, </w:t>
      </w:r>
      <w:r w:rsidR="00036753" w:rsidRPr="006324E2">
        <w:rPr>
          <w:sz w:val="22"/>
          <w:szCs w:val="22"/>
        </w:rPr>
        <w:t>T., &amp;</w:t>
      </w:r>
      <w:r w:rsidRPr="006324E2">
        <w:rPr>
          <w:sz w:val="22"/>
          <w:szCs w:val="22"/>
        </w:rPr>
        <w:t xml:space="preserve"> Eilert</w:t>
      </w:r>
      <w:r w:rsidR="00036753" w:rsidRPr="006324E2">
        <w:rPr>
          <w:sz w:val="22"/>
          <w:szCs w:val="22"/>
        </w:rPr>
        <w:t>, M.</w:t>
      </w:r>
      <w:r w:rsidRPr="006324E2">
        <w:rPr>
          <w:sz w:val="22"/>
          <w:szCs w:val="22"/>
        </w:rPr>
        <w:t xml:space="preserve"> 2013</w:t>
      </w:r>
      <w:r w:rsidR="00036753" w:rsidRPr="006324E2">
        <w:rPr>
          <w:sz w:val="22"/>
          <w:szCs w:val="22"/>
        </w:rPr>
        <w:t>.</w:t>
      </w:r>
      <w:r w:rsidRPr="006324E2">
        <w:rPr>
          <w:sz w:val="22"/>
          <w:szCs w:val="22"/>
        </w:rPr>
        <w:t xml:space="preserve"> The impact of product recalls on future product reliability and future accidents: Evidence from the automobile industry</w:t>
      </w:r>
      <w:r w:rsidR="00036753" w:rsidRPr="006324E2">
        <w:rPr>
          <w:sz w:val="22"/>
          <w:szCs w:val="22"/>
        </w:rPr>
        <w:t>.</w:t>
      </w:r>
      <w:r w:rsidRPr="006324E2">
        <w:rPr>
          <w:sz w:val="22"/>
          <w:szCs w:val="22"/>
        </w:rPr>
        <w:t xml:space="preserve"> </w:t>
      </w:r>
      <w:r w:rsidRPr="006324E2">
        <w:rPr>
          <w:i/>
          <w:sz w:val="22"/>
          <w:szCs w:val="22"/>
        </w:rPr>
        <w:t>Journal of Marketing</w:t>
      </w:r>
      <w:r w:rsidRPr="006324E2">
        <w:rPr>
          <w:sz w:val="22"/>
          <w:szCs w:val="22"/>
        </w:rPr>
        <w:t>, 77(2)</w:t>
      </w:r>
      <w:r w:rsidR="00036753" w:rsidRPr="006324E2">
        <w:rPr>
          <w:sz w:val="22"/>
          <w:szCs w:val="22"/>
        </w:rPr>
        <w:t>:</w:t>
      </w:r>
      <w:r w:rsidRPr="006324E2">
        <w:rPr>
          <w:sz w:val="22"/>
          <w:szCs w:val="22"/>
        </w:rPr>
        <w:t xml:space="preserve"> 41-57.</w:t>
      </w:r>
    </w:p>
    <w:p w14:paraId="56070411" w14:textId="72F3AAE9" w:rsidR="00A34765" w:rsidRPr="006324E2" w:rsidRDefault="00A34765" w:rsidP="00F276E7">
      <w:pPr>
        <w:pStyle w:val="NormalWeb"/>
        <w:widowControl w:val="0"/>
        <w:snapToGrid w:val="0"/>
        <w:spacing w:before="0" w:beforeAutospacing="0" w:after="0" w:afterAutospacing="0" w:line="480" w:lineRule="auto"/>
        <w:ind w:left="360" w:hanging="360"/>
        <w:rPr>
          <w:sz w:val="22"/>
          <w:szCs w:val="22"/>
        </w:rPr>
      </w:pPr>
      <w:r w:rsidRPr="006324E2">
        <w:rPr>
          <w:sz w:val="22"/>
          <w:szCs w:val="22"/>
        </w:rPr>
        <w:lastRenderedPageBreak/>
        <w:t xml:space="preserve">Kane, Suzanne. 2013. What happens at Auto Shows? </w:t>
      </w:r>
      <w:r w:rsidRPr="006324E2">
        <w:rPr>
          <w:i/>
          <w:iCs/>
          <w:sz w:val="22"/>
          <w:szCs w:val="22"/>
        </w:rPr>
        <w:t>The Car Connection</w:t>
      </w:r>
      <w:r w:rsidRPr="006324E2">
        <w:rPr>
          <w:sz w:val="22"/>
          <w:szCs w:val="22"/>
        </w:rPr>
        <w:t>, Published: December 8, 2013, https://www.thecarconnection.com/tips-article/1088810_what-happens-at-auto-shows</w:t>
      </w:r>
    </w:p>
    <w:p w14:paraId="507C21BE" w14:textId="0FFC4C28" w:rsidR="007F11BF" w:rsidRPr="006324E2" w:rsidRDefault="007F11BF" w:rsidP="00F276E7">
      <w:pPr>
        <w:pStyle w:val="NormalWeb"/>
        <w:widowControl w:val="0"/>
        <w:snapToGrid w:val="0"/>
        <w:spacing w:before="0" w:beforeAutospacing="0" w:after="0" w:afterAutospacing="0" w:line="480" w:lineRule="auto"/>
        <w:ind w:left="360" w:hanging="360"/>
        <w:rPr>
          <w:sz w:val="22"/>
          <w:szCs w:val="22"/>
        </w:rPr>
      </w:pPr>
      <w:r w:rsidRPr="006324E2">
        <w:rPr>
          <w:sz w:val="22"/>
          <w:szCs w:val="22"/>
        </w:rPr>
        <w:t xml:space="preserve">Kim, J. K., Mudambi, R. 2020. An ecosystem-based analysis of design innovation infringements: South Korea and China in the global tire industry. </w:t>
      </w:r>
      <w:r w:rsidRPr="006324E2">
        <w:rPr>
          <w:i/>
          <w:iCs/>
          <w:sz w:val="22"/>
          <w:szCs w:val="22"/>
        </w:rPr>
        <w:t>Journal of International Business Policy</w:t>
      </w:r>
      <w:r w:rsidRPr="006324E2">
        <w:rPr>
          <w:sz w:val="22"/>
          <w:szCs w:val="22"/>
        </w:rPr>
        <w:t xml:space="preserve">, 3: 38-57. </w:t>
      </w:r>
    </w:p>
    <w:p w14:paraId="60D1FF70" w14:textId="4E669558" w:rsidR="004F5F13" w:rsidRPr="006324E2" w:rsidRDefault="004F5F13" w:rsidP="00F276E7">
      <w:pPr>
        <w:pStyle w:val="NormalWeb"/>
        <w:widowControl w:val="0"/>
        <w:snapToGrid w:val="0"/>
        <w:spacing w:before="0" w:beforeAutospacing="0" w:after="0" w:afterAutospacing="0" w:line="480" w:lineRule="auto"/>
        <w:ind w:left="360" w:hanging="360"/>
        <w:rPr>
          <w:sz w:val="22"/>
          <w:szCs w:val="22"/>
        </w:rPr>
      </w:pPr>
      <w:r w:rsidRPr="006324E2">
        <w:rPr>
          <w:sz w:val="22"/>
          <w:szCs w:val="22"/>
        </w:rPr>
        <w:t xml:space="preserve">Knudsen, J. S. 2018. Government Regulation of International Corporate Social Responsibility in the US and the UK: How Domestic Institutions Shape Mandatory and Supportive Initiatives. </w:t>
      </w:r>
      <w:r w:rsidRPr="006324E2">
        <w:rPr>
          <w:i/>
          <w:iCs/>
          <w:sz w:val="22"/>
          <w:szCs w:val="22"/>
        </w:rPr>
        <w:t>British Journal of Industrial Relations</w:t>
      </w:r>
      <w:r w:rsidRPr="006324E2">
        <w:rPr>
          <w:sz w:val="22"/>
          <w:szCs w:val="22"/>
        </w:rPr>
        <w:t>, 56(1): 164-188.</w:t>
      </w:r>
    </w:p>
    <w:p w14:paraId="1DF0053A" w14:textId="03BF66A8" w:rsidR="003F027C" w:rsidRPr="006324E2" w:rsidRDefault="003F027C" w:rsidP="00F276E7">
      <w:pPr>
        <w:pStyle w:val="NormalWeb"/>
        <w:widowControl w:val="0"/>
        <w:snapToGrid w:val="0"/>
        <w:spacing w:before="0" w:beforeAutospacing="0" w:after="0" w:afterAutospacing="0" w:line="480" w:lineRule="auto"/>
        <w:ind w:left="360" w:hanging="360"/>
        <w:rPr>
          <w:sz w:val="22"/>
          <w:szCs w:val="22"/>
        </w:rPr>
      </w:pPr>
      <w:r w:rsidRPr="006324E2">
        <w:rPr>
          <w:sz w:val="22"/>
          <w:szCs w:val="22"/>
        </w:rPr>
        <w:t>Kostova, T</w:t>
      </w:r>
      <w:r w:rsidR="00036753" w:rsidRPr="006324E2">
        <w:rPr>
          <w:sz w:val="22"/>
          <w:szCs w:val="22"/>
        </w:rPr>
        <w:t>.</w:t>
      </w:r>
      <w:r w:rsidRPr="006324E2">
        <w:rPr>
          <w:sz w:val="22"/>
          <w:szCs w:val="22"/>
        </w:rPr>
        <w:t xml:space="preserve">, </w:t>
      </w:r>
      <w:r w:rsidR="003A63FD" w:rsidRPr="006324E2">
        <w:rPr>
          <w:sz w:val="22"/>
          <w:szCs w:val="22"/>
        </w:rPr>
        <w:t>Roth,</w:t>
      </w:r>
      <w:r w:rsidRPr="006324E2">
        <w:rPr>
          <w:sz w:val="22"/>
          <w:szCs w:val="22"/>
        </w:rPr>
        <w:t xml:space="preserve"> </w:t>
      </w:r>
      <w:r w:rsidR="00036753" w:rsidRPr="006324E2">
        <w:rPr>
          <w:sz w:val="22"/>
          <w:szCs w:val="22"/>
        </w:rPr>
        <w:t>K., &amp;</w:t>
      </w:r>
      <w:r w:rsidRPr="006324E2">
        <w:rPr>
          <w:sz w:val="22"/>
          <w:szCs w:val="22"/>
        </w:rPr>
        <w:t xml:space="preserve"> </w:t>
      </w:r>
      <w:r w:rsidR="003A63FD" w:rsidRPr="006324E2">
        <w:rPr>
          <w:sz w:val="22"/>
          <w:szCs w:val="22"/>
        </w:rPr>
        <w:t>Dacin</w:t>
      </w:r>
      <w:r w:rsidR="00C7761C" w:rsidRPr="006324E2">
        <w:rPr>
          <w:sz w:val="22"/>
          <w:szCs w:val="22"/>
        </w:rPr>
        <w:t>, M. T.</w:t>
      </w:r>
      <w:r w:rsidR="003A63FD" w:rsidRPr="006324E2">
        <w:rPr>
          <w:sz w:val="22"/>
          <w:szCs w:val="22"/>
        </w:rPr>
        <w:t xml:space="preserve"> 2008</w:t>
      </w:r>
      <w:r w:rsidR="00C7761C" w:rsidRPr="006324E2">
        <w:rPr>
          <w:sz w:val="22"/>
          <w:szCs w:val="22"/>
        </w:rPr>
        <w:t>.</w:t>
      </w:r>
      <w:r w:rsidRPr="006324E2">
        <w:rPr>
          <w:sz w:val="22"/>
          <w:szCs w:val="22"/>
        </w:rPr>
        <w:t xml:space="preserve"> Institutional theory in the study of multinational corporations: A critique and ne</w:t>
      </w:r>
      <w:r w:rsidR="003A63FD" w:rsidRPr="006324E2">
        <w:rPr>
          <w:sz w:val="22"/>
          <w:szCs w:val="22"/>
        </w:rPr>
        <w:t>w directions</w:t>
      </w:r>
      <w:r w:rsidR="00C7761C" w:rsidRPr="006324E2">
        <w:rPr>
          <w:sz w:val="22"/>
          <w:szCs w:val="22"/>
        </w:rPr>
        <w:t>.</w:t>
      </w:r>
      <w:r w:rsidRPr="006324E2">
        <w:rPr>
          <w:sz w:val="22"/>
          <w:szCs w:val="22"/>
        </w:rPr>
        <w:t xml:space="preserve"> </w:t>
      </w:r>
      <w:r w:rsidRPr="006324E2">
        <w:rPr>
          <w:i/>
          <w:sz w:val="22"/>
          <w:szCs w:val="22"/>
        </w:rPr>
        <w:t>Academy of Management Review</w:t>
      </w:r>
      <w:r w:rsidR="00D40CD7" w:rsidRPr="006324E2">
        <w:rPr>
          <w:sz w:val="22"/>
          <w:szCs w:val="22"/>
        </w:rPr>
        <w:t>, 33(</w:t>
      </w:r>
      <w:r w:rsidRPr="006324E2">
        <w:rPr>
          <w:sz w:val="22"/>
          <w:szCs w:val="22"/>
        </w:rPr>
        <w:t>4</w:t>
      </w:r>
      <w:r w:rsidR="003A63FD" w:rsidRPr="006324E2">
        <w:rPr>
          <w:sz w:val="22"/>
          <w:szCs w:val="22"/>
        </w:rPr>
        <w:t>)</w:t>
      </w:r>
      <w:r w:rsidR="00D330B3" w:rsidRPr="006324E2">
        <w:rPr>
          <w:sz w:val="22"/>
          <w:szCs w:val="22"/>
        </w:rPr>
        <w:t>:</w:t>
      </w:r>
      <w:r w:rsidRPr="006324E2">
        <w:rPr>
          <w:sz w:val="22"/>
          <w:szCs w:val="22"/>
        </w:rPr>
        <w:t xml:space="preserve"> 994-1006</w:t>
      </w:r>
      <w:r w:rsidR="00C7761C" w:rsidRPr="006324E2">
        <w:rPr>
          <w:sz w:val="22"/>
          <w:szCs w:val="22"/>
        </w:rPr>
        <w:t>.</w:t>
      </w:r>
    </w:p>
    <w:p w14:paraId="07A626C0" w14:textId="0904576E" w:rsidR="00DE2713" w:rsidRPr="00F276E7" w:rsidRDefault="003A63FD" w:rsidP="00F276E7">
      <w:pPr>
        <w:widowControl w:val="0"/>
        <w:autoSpaceDE w:val="0"/>
        <w:autoSpaceDN w:val="0"/>
        <w:adjustRightInd w:val="0"/>
        <w:snapToGrid w:val="0"/>
        <w:spacing w:line="480" w:lineRule="auto"/>
        <w:ind w:left="360" w:right="-180" w:hanging="360"/>
        <w:rPr>
          <w:sz w:val="22"/>
          <w:szCs w:val="22"/>
        </w:rPr>
      </w:pPr>
      <w:proofErr w:type="spellStart"/>
      <w:r w:rsidRPr="00F276E7">
        <w:rPr>
          <w:sz w:val="22"/>
          <w:szCs w:val="22"/>
        </w:rPr>
        <w:t>Kotabe</w:t>
      </w:r>
      <w:proofErr w:type="spellEnd"/>
      <w:r w:rsidRPr="00F276E7">
        <w:rPr>
          <w:sz w:val="22"/>
          <w:szCs w:val="22"/>
        </w:rPr>
        <w:t>, M</w:t>
      </w:r>
      <w:r w:rsidR="00C7761C" w:rsidRPr="00F276E7">
        <w:rPr>
          <w:sz w:val="22"/>
          <w:szCs w:val="22"/>
        </w:rPr>
        <w:t>.</w:t>
      </w:r>
      <w:r w:rsidR="00DE2713" w:rsidRPr="00F276E7">
        <w:rPr>
          <w:sz w:val="22"/>
          <w:szCs w:val="22"/>
        </w:rPr>
        <w:t xml:space="preserve">, </w:t>
      </w:r>
      <w:r w:rsidRPr="00F276E7">
        <w:rPr>
          <w:sz w:val="22"/>
          <w:szCs w:val="22"/>
        </w:rPr>
        <w:t>Parente,</w:t>
      </w:r>
      <w:r w:rsidR="00DE2713" w:rsidRPr="00F276E7">
        <w:rPr>
          <w:sz w:val="22"/>
          <w:szCs w:val="22"/>
        </w:rPr>
        <w:t xml:space="preserve"> </w:t>
      </w:r>
      <w:r w:rsidR="00C7761C" w:rsidRPr="00F276E7">
        <w:rPr>
          <w:sz w:val="22"/>
          <w:szCs w:val="22"/>
        </w:rPr>
        <w:t>R., &amp;</w:t>
      </w:r>
      <w:r w:rsidR="00DE2713" w:rsidRPr="00F276E7">
        <w:rPr>
          <w:sz w:val="22"/>
          <w:szCs w:val="22"/>
        </w:rPr>
        <w:t xml:space="preserve"> </w:t>
      </w:r>
      <w:r w:rsidRPr="00F276E7">
        <w:rPr>
          <w:sz w:val="22"/>
          <w:szCs w:val="22"/>
        </w:rPr>
        <w:t>Murray</w:t>
      </w:r>
      <w:r w:rsidR="00C7761C" w:rsidRPr="00F276E7">
        <w:rPr>
          <w:sz w:val="22"/>
          <w:szCs w:val="22"/>
        </w:rPr>
        <w:t>, J. Y.</w:t>
      </w:r>
      <w:r w:rsidR="00DE2713" w:rsidRPr="00F276E7">
        <w:rPr>
          <w:sz w:val="22"/>
          <w:szCs w:val="22"/>
        </w:rPr>
        <w:t xml:space="preserve"> </w:t>
      </w:r>
      <w:r w:rsidRPr="00F276E7">
        <w:rPr>
          <w:sz w:val="22"/>
          <w:szCs w:val="22"/>
        </w:rPr>
        <w:t>2007</w:t>
      </w:r>
      <w:r w:rsidR="00C7761C" w:rsidRPr="00F276E7">
        <w:rPr>
          <w:sz w:val="22"/>
          <w:szCs w:val="22"/>
        </w:rPr>
        <w:t xml:space="preserve">. </w:t>
      </w:r>
      <w:r w:rsidR="00DE2713" w:rsidRPr="00F276E7">
        <w:rPr>
          <w:sz w:val="22"/>
          <w:szCs w:val="22"/>
        </w:rPr>
        <w:t xml:space="preserve">Antecedents and outcomes of modular production in the Brazilian automobile industry: </w:t>
      </w:r>
      <w:r w:rsidR="00D24511" w:rsidRPr="00F276E7">
        <w:rPr>
          <w:sz w:val="22"/>
          <w:szCs w:val="22"/>
        </w:rPr>
        <w:t>A</w:t>
      </w:r>
      <w:r w:rsidRPr="00F276E7">
        <w:rPr>
          <w:sz w:val="22"/>
          <w:szCs w:val="22"/>
        </w:rPr>
        <w:t xml:space="preserve"> grounded theory approach</w:t>
      </w:r>
      <w:r w:rsidR="00C7761C" w:rsidRPr="00F276E7">
        <w:rPr>
          <w:sz w:val="22"/>
          <w:szCs w:val="22"/>
        </w:rPr>
        <w:t>.</w:t>
      </w:r>
      <w:r w:rsidR="00DE2713" w:rsidRPr="00F276E7">
        <w:rPr>
          <w:sz w:val="22"/>
          <w:szCs w:val="22"/>
        </w:rPr>
        <w:t xml:space="preserve"> </w:t>
      </w:r>
      <w:r w:rsidR="00DE2713" w:rsidRPr="00F276E7">
        <w:rPr>
          <w:i/>
          <w:sz w:val="22"/>
          <w:szCs w:val="22"/>
        </w:rPr>
        <w:t xml:space="preserve">Journal of International Business Studies, </w:t>
      </w:r>
      <w:r w:rsidR="00DE2713" w:rsidRPr="00F276E7">
        <w:rPr>
          <w:sz w:val="22"/>
          <w:szCs w:val="22"/>
        </w:rPr>
        <w:t>38</w:t>
      </w:r>
      <w:r w:rsidRPr="00F276E7">
        <w:rPr>
          <w:sz w:val="22"/>
          <w:szCs w:val="22"/>
        </w:rPr>
        <w:t>(1)</w:t>
      </w:r>
      <w:r w:rsidR="00C7761C" w:rsidRPr="00F276E7">
        <w:rPr>
          <w:sz w:val="22"/>
          <w:szCs w:val="22"/>
        </w:rPr>
        <w:t>:</w:t>
      </w:r>
      <w:r w:rsidRPr="00F276E7">
        <w:rPr>
          <w:sz w:val="22"/>
          <w:szCs w:val="22"/>
        </w:rPr>
        <w:t xml:space="preserve"> </w:t>
      </w:r>
      <w:r w:rsidR="00DE2713" w:rsidRPr="00F276E7">
        <w:rPr>
          <w:sz w:val="22"/>
          <w:szCs w:val="22"/>
        </w:rPr>
        <w:t xml:space="preserve">84-106. </w:t>
      </w:r>
    </w:p>
    <w:p w14:paraId="10353C53" w14:textId="04CB701B" w:rsidR="00C1345A" w:rsidRPr="00F276E7" w:rsidRDefault="00C1345A" w:rsidP="00F276E7">
      <w:pPr>
        <w:widowControl w:val="0"/>
        <w:autoSpaceDE w:val="0"/>
        <w:autoSpaceDN w:val="0"/>
        <w:adjustRightInd w:val="0"/>
        <w:snapToGrid w:val="0"/>
        <w:spacing w:line="480" w:lineRule="auto"/>
        <w:ind w:left="360" w:right="-180" w:hanging="360"/>
        <w:rPr>
          <w:sz w:val="22"/>
          <w:szCs w:val="22"/>
        </w:rPr>
      </w:pPr>
      <w:r w:rsidRPr="00F276E7">
        <w:rPr>
          <w:sz w:val="22"/>
          <w:szCs w:val="22"/>
        </w:rPr>
        <w:t xml:space="preserve">Kostova, T., Roth, K., &amp; Dacin, M. T. 2008. Institutional theory in the study of multinational corporations: A critique and new directions. </w:t>
      </w:r>
      <w:r w:rsidRPr="00F276E7">
        <w:rPr>
          <w:i/>
          <w:iCs/>
          <w:sz w:val="22"/>
          <w:szCs w:val="22"/>
        </w:rPr>
        <w:t>Academy of management review</w:t>
      </w:r>
      <w:r w:rsidRPr="00F276E7">
        <w:rPr>
          <w:sz w:val="22"/>
          <w:szCs w:val="22"/>
        </w:rPr>
        <w:t>, 33(4): 994 – 1006.</w:t>
      </w:r>
    </w:p>
    <w:p w14:paraId="0463E964" w14:textId="10003AC8" w:rsidR="002904AF" w:rsidRPr="00F276E7" w:rsidRDefault="002904AF" w:rsidP="00F276E7">
      <w:pPr>
        <w:widowControl w:val="0"/>
        <w:autoSpaceDE w:val="0"/>
        <w:autoSpaceDN w:val="0"/>
        <w:adjustRightInd w:val="0"/>
        <w:snapToGrid w:val="0"/>
        <w:spacing w:line="480" w:lineRule="auto"/>
        <w:ind w:left="360" w:right="-180" w:hanging="360"/>
        <w:rPr>
          <w:sz w:val="22"/>
          <w:szCs w:val="22"/>
        </w:rPr>
      </w:pPr>
      <w:r w:rsidRPr="00F276E7">
        <w:rPr>
          <w:sz w:val="22"/>
          <w:szCs w:val="22"/>
        </w:rPr>
        <w:t>Kotler, P</w:t>
      </w:r>
      <w:r w:rsidR="00C7761C" w:rsidRPr="00F276E7">
        <w:rPr>
          <w:sz w:val="22"/>
          <w:szCs w:val="22"/>
        </w:rPr>
        <w:t>.</w:t>
      </w:r>
      <w:r w:rsidRPr="00F276E7">
        <w:rPr>
          <w:sz w:val="22"/>
          <w:szCs w:val="22"/>
        </w:rPr>
        <w:t xml:space="preserve"> 2011</w:t>
      </w:r>
      <w:r w:rsidR="00C7761C" w:rsidRPr="00F276E7">
        <w:rPr>
          <w:sz w:val="22"/>
          <w:szCs w:val="22"/>
        </w:rPr>
        <w:t>.</w:t>
      </w:r>
      <w:r w:rsidRPr="00F276E7">
        <w:rPr>
          <w:sz w:val="22"/>
          <w:szCs w:val="22"/>
        </w:rPr>
        <w:t xml:space="preserve"> Reinventing marketing to manage the environmental imperative</w:t>
      </w:r>
      <w:r w:rsidR="00C7761C" w:rsidRPr="00F276E7">
        <w:rPr>
          <w:sz w:val="22"/>
          <w:szCs w:val="22"/>
        </w:rPr>
        <w:t>.</w:t>
      </w:r>
      <w:r w:rsidRPr="00F276E7">
        <w:rPr>
          <w:sz w:val="22"/>
          <w:szCs w:val="22"/>
        </w:rPr>
        <w:t xml:space="preserve"> </w:t>
      </w:r>
      <w:r w:rsidRPr="00F276E7">
        <w:rPr>
          <w:i/>
          <w:sz w:val="22"/>
          <w:szCs w:val="22"/>
        </w:rPr>
        <w:t>Journal of Marketing</w:t>
      </w:r>
      <w:r w:rsidRPr="00F276E7">
        <w:rPr>
          <w:sz w:val="22"/>
          <w:szCs w:val="22"/>
        </w:rPr>
        <w:t>, 75(4)</w:t>
      </w:r>
      <w:r w:rsidR="00C7761C" w:rsidRPr="00F276E7">
        <w:rPr>
          <w:sz w:val="22"/>
          <w:szCs w:val="22"/>
        </w:rPr>
        <w:t>:</w:t>
      </w:r>
      <w:r w:rsidRPr="00F276E7">
        <w:rPr>
          <w:sz w:val="22"/>
          <w:szCs w:val="22"/>
        </w:rPr>
        <w:t xml:space="preserve"> 132-35.</w:t>
      </w:r>
    </w:p>
    <w:p w14:paraId="20934309" w14:textId="2CE84452" w:rsidR="00721391" w:rsidRPr="00F276E7" w:rsidRDefault="00721391" w:rsidP="00F276E7">
      <w:pPr>
        <w:widowControl w:val="0"/>
        <w:autoSpaceDE w:val="0"/>
        <w:autoSpaceDN w:val="0"/>
        <w:adjustRightInd w:val="0"/>
        <w:snapToGrid w:val="0"/>
        <w:spacing w:line="480" w:lineRule="auto"/>
        <w:ind w:left="360" w:right="-180" w:hanging="360"/>
        <w:rPr>
          <w:sz w:val="22"/>
          <w:szCs w:val="22"/>
        </w:rPr>
      </w:pPr>
      <w:r w:rsidRPr="00F276E7">
        <w:rPr>
          <w:sz w:val="22"/>
          <w:szCs w:val="22"/>
        </w:rPr>
        <w:t>Laurin, K</w:t>
      </w:r>
      <w:r w:rsidR="007C13C0" w:rsidRPr="00F276E7">
        <w:rPr>
          <w:sz w:val="22"/>
          <w:szCs w:val="22"/>
        </w:rPr>
        <w:t>.,</w:t>
      </w:r>
      <w:r w:rsidRPr="00F276E7">
        <w:rPr>
          <w:sz w:val="22"/>
          <w:szCs w:val="22"/>
        </w:rPr>
        <w:t xml:space="preserve"> Kay,</w:t>
      </w:r>
      <w:r w:rsidR="00C7761C" w:rsidRPr="00F276E7">
        <w:rPr>
          <w:sz w:val="22"/>
          <w:szCs w:val="22"/>
        </w:rPr>
        <w:t xml:space="preserve"> A. C. </w:t>
      </w:r>
      <w:r w:rsidRPr="00F276E7">
        <w:rPr>
          <w:sz w:val="22"/>
          <w:szCs w:val="22"/>
        </w:rPr>
        <w:t>Proudfoot,</w:t>
      </w:r>
      <w:r w:rsidR="00C7761C" w:rsidRPr="00F276E7">
        <w:rPr>
          <w:sz w:val="22"/>
          <w:szCs w:val="22"/>
        </w:rPr>
        <w:t xml:space="preserve"> D.</w:t>
      </w:r>
      <w:r w:rsidRPr="00F276E7">
        <w:rPr>
          <w:sz w:val="22"/>
          <w:szCs w:val="22"/>
        </w:rPr>
        <w:t xml:space="preserve"> </w:t>
      </w:r>
      <w:r w:rsidR="00C7761C" w:rsidRPr="00F276E7">
        <w:rPr>
          <w:sz w:val="22"/>
          <w:szCs w:val="22"/>
        </w:rPr>
        <w:t>&amp;</w:t>
      </w:r>
      <w:r w:rsidRPr="00F276E7">
        <w:rPr>
          <w:sz w:val="22"/>
          <w:szCs w:val="22"/>
        </w:rPr>
        <w:t xml:space="preserve"> Fitzsimmons</w:t>
      </w:r>
      <w:r w:rsidR="00C7761C" w:rsidRPr="00F276E7">
        <w:rPr>
          <w:sz w:val="22"/>
          <w:szCs w:val="22"/>
        </w:rPr>
        <w:t>, G. J.</w:t>
      </w:r>
      <w:r w:rsidRPr="00F276E7">
        <w:rPr>
          <w:sz w:val="22"/>
          <w:szCs w:val="22"/>
        </w:rPr>
        <w:t xml:space="preserve"> 2013</w:t>
      </w:r>
      <w:r w:rsidR="00C7761C" w:rsidRPr="00F276E7">
        <w:rPr>
          <w:sz w:val="22"/>
          <w:szCs w:val="22"/>
        </w:rPr>
        <w:t>.</w:t>
      </w:r>
      <w:r w:rsidRPr="00F276E7">
        <w:rPr>
          <w:sz w:val="22"/>
          <w:szCs w:val="22"/>
        </w:rPr>
        <w:t xml:space="preserve"> Response to restrictive policies: Reconciling system justification and psychological resistance</w:t>
      </w:r>
      <w:r w:rsidR="00C7761C" w:rsidRPr="00F276E7">
        <w:rPr>
          <w:sz w:val="22"/>
          <w:szCs w:val="22"/>
        </w:rPr>
        <w:t>.</w:t>
      </w:r>
      <w:r w:rsidRPr="00F276E7">
        <w:rPr>
          <w:sz w:val="22"/>
          <w:szCs w:val="22"/>
        </w:rPr>
        <w:t xml:space="preserve"> </w:t>
      </w:r>
      <w:proofErr w:type="spellStart"/>
      <w:r w:rsidRPr="00F276E7">
        <w:rPr>
          <w:i/>
          <w:sz w:val="22"/>
          <w:szCs w:val="22"/>
        </w:rPr>
        <w:t>Behavior</w:t>
      </w:r>
      <w:proofErr w:type="spellEnd"/>
      <w:r w:rsidRPr="00F276E7">
        <w:rPr>
          <w:i/>
          <w:sz w:val="22"/>
          <w:szCs w:val="22"/>
        </w:rPr>
        <w:t xml:space="preserve"> and Human Decision Processes</w:t>
      </w:r>
      <w:r w:rsidRPr="00F276E7">
        <w:rPr>
          <w:sz w:val="22"/>
          <w:szCs w:val="22"/>
        </w:rPr>
        <w:t>, 122(2)</w:t>
      </w:r>
      <w:r w:rsidR="00C7761C" w:rsidRPr="00F276E7">
        <w:rPr>
          <w:sz w:val="22"/>
          <w:szCs w:val="22"/>
        </w:rPr>
        <w:t>:</w:t>
      </w:r>
      <w:r w:rsidRPr="00F276E7">
        <w:rPr>
          <w:sz w:val="22"/>
          <w:szCs w:val="22"/>
        </w:rPr>
        <w:t xml:space="preserve"> 152-62.</w:t>
      </w:r>
    </w:p>
    <w:p w14:paraId="27E8DEDF" w14:textId="075CFCC8" w:rsidR="00E26714" w:rsidRPr="00F276E7" w:rsidRDefault="003A63FD" w:rsidP="00F276E7">
      <w:pPr>
        <w:widowControl w:val="0"/>
        <w:autoSpaceDE w:val="0"/>
        <w:autoSpaceDN w:val="0"/>
        <w:adjustRightInd w:val="0"/>
        <w:snapToGrid w:val="0"/>
        <w:spacing w:line="480" w:lineRule="auto"/>
        <w:ind w:left="360" w:right="-180" w:hanging="360"/>
        <w:rPr>
          <w:sz w:val="22"/>
          <w:szCs w:val="22"/>
        </w:rPr>
      </w:pPr>
      <w:r w:rsidRPr="00F276E7">
        <w:rPr>
          <w:sz w:val="22"/>
          <w:szCs w:val="22"/>
        </w:rPr>
        <w:t>Lee, R</w:t>
      </w:r>
      <w:r w:rsidR="003E23CC" w:rsidRPr="00F276E7">
        <w:rPr>
          <w:sz w:val="22"/>
          <w:szCs w:val="22"/>
        </w:rPr>
        <w:t>.</w:t>
      </w:r>
      <w:r w:rsidRPr="00F276E7">
        <w:rPr>
          <w:sz w:val="22"/>
          <w:szCs w:val="22"/>
        </w:rPr>
        <w:t xml:space="preserve"> </w:t>
      </w:r>
      <w:r w:rsidR="00E26714" w:rsidRPr="00F276E7">
        <w:rPr>
          <w:sz w:val="22"/>
          <w:szCs w:val="22"/>
        </w:rPr>
        <w:t xml:space="preserve">P., </w:t>
      </w:r>
      <w:r w:rsidR="005039C3" w:rsidRPr="00F276E7">
        <w:rPr>
          <w:sz w:val="22"/>
          <w:szCs w:val="22"/>
        </w:rPr>
        <w:t>Chen</w:t>
      </w:r>
      <w:r w:rsidR="00E26714" w:rsidRPr="00F276E7">
        <w:rPr>
          <w:sz w:val="22"/>
          <w:szCs w:val="22"/>
        </w:rPr>
        <w:t>,</w:t>
      </w:r>
      <w:r w:rsidR="003E23CC" w:rsidRPr="00F276E7">
        <w:rPr>
          <w:sz w:val="22"/>
          <w:szCs w:val="22"/>
        </w:rPr>
        <w:t xml:space="preserve"> Q., &amp; </w:t>
      </w:r>
      <w:r w:rsidR="005039C3" w:rsidRPr="00F276E7">
        <w:rPr>
          <w:sz w:val="22"/>
          <w:szCs w:val="22"/>
        </w:rPr>
        <w:t>Lu</w:t>
      </w:r>
      <w:r w:rsidR="003E23CC" w:rsidRPr="00F276E7">
        <w:rPr>
          <w:sz w:val="22"/>
          <w:szCs w:val="22"/>
        </w:rPr>
        <w:t xml:space="preserve">, Q. </w:t>
      </w:r>
      <w:r w:rsidR="005039C3" w:rsidRPr="00F276E7">
        <w:rPr>
          <w:sz w:val="22"/>
          <w:szCs w:val="22"/>
        </w:rPr>
        <w:t>2009</w:t>
      </w:r>
      <w:r w:rsidR="003E23CC" w:rsidRPr="00F276E7">
        <w:rPr>
          <w:sz w:val="22"/>
          <w:szCs w:val="22"/>
        </w:rPr>
        <w:t>.</w:t>
      </w:r>
      <w:r w:rsidR="00E26714" w:rsidRPr="00F276E7">
        <w:rPr>
          <w:sz w:val="22"/>
          <w:szCs w:val="22"/>
        </w:rPr>
        <w:t xml:space="preserve"> In search of platforms to increase market responsiveness – Evidence from foreign </w:t>
      </w:r>
      <w:r w:rsidR="00E02526" w:rsidRPr="00F276E7">
        <w:rPr>
          <w:sz w:val="22"/>
          <w:szCs w:val="22"/>
        </w:rPr>
        <w:t>subsidiaries</w:t>
      </w:r>
      <w:r w:rsidR="00916DB4" w:rsidRPr="00F276E7">
        <w:rPr>
          <w:sz w:val="22"/>
          <w:szCs w:val="22"/>
        </w:rPr>
        <w:t>.</w:t>
      </w:r>
      <w:r w:rsidR="00E26714" w:rsidRPr="00F276E7">
        <w:rPr>
          <w:sz w:val="22"/>
          <w:szCs w:val="22"/>
        </w:rPr>
        <w:t xml:space="preserve"> </w:t>
      </w:r>
      <w:r w:rsidR="00E26714" w:rsidRPr="00F276E7">
        <w:rPr>
          <w:i/>
          <w:sz w:val="22"/>
          <w:szCs w:val="22"/>
        </w:rPr>
        <w:t>Journal of International Marketing</w:t>
      </w:r>
      <w:r w:rsidR="00E26714" w:rsidRPr="00F276E7">
        <w:rPr>
          <w:sz w:val="22"/>
          <w:szCs w:val="22"/>
        </w:rPr>
        <w:t>, 17(2)</w:t>
      </w:r>
      <w:r w:rsidR="00916DB4" w:rsidRPr="00F276E7">
        <w:rPr>
          <w:sz w:val="22"/>
          <w:szCs w:val="22"/>
        </w:rPr>
        <w:t>:</w:t>
      </w:r>
      <w:r w:rsidR="00E26714" w:rsidRPr="00F276E7">
        <w:rPr>
          <w:sz w:val="22"/>
          <w:szCs w:val="22"/>
        </w:rPr>
        <w:t xml:space="preserve"> 59-73.</w:t>
      </w:r>
    </w:p>
    <w:p w14:paraId="065C3257" w14:textId="30FC74E9" w:rsidR="001C177B" w:rsidRPr="00F276E7" w:rsidRDefault="001C177B" w:rsidP="00F276E7">
      <w:pPr>
        <w:widowControl w:val="0"/>
        <w:autoSpaceDE w:val="0"/>
        <w:autoSpaceDN w:val="0"/>
        <w:adjustRightInd w:val="0"/>
        <w:snapToGrid w:val="0"/>
        <w:spacing w:line="480" w:lineRule="auto"/>
        <w:ind w:left="360" w:right="-180" w:hanging="360"/>
        <w:rPr>
          <w:sz w:val="22"/>
          <w:szCs w:val="22"/>
        </w:rPr>
      </w:pPr>
      <w:r w:rsidRPr="00F276E7">
        <w:rPr>
          <w:sz w:val="22"/>
          <w:szCs w:val="22"/>
        </w:rPr>
        <w:t xml:space="preserve">Li, H., Bapuji, H., Talluri, S., &amp; Singh, P. J. 2022. </w:t>
      </w:r>
      <w:r w:rsidR="00BC4931" w:rsidRPr="00F276E7">
        <w:rPr>
          <w:sz w:val="22"/>
          <w:szCs w:val="22"/>
        </w:rPr>
        <w:t>A Cross-disciplinary review of product recall research: A stakeholder-stage framework. Transportation Research Part E. 163: 102732</w:t>
      </w:r>
    </w:p>
    <w:p w14:paraId="18308A7D" w14:textId="27EBE6E3" w:rsidR="004F1EAE" w:rsidRPr="00F276E7" w:rsidRDefault="005039C3" w:rsidP="00F276E7">
      <w:pPr>
        <w:widowControl w:val="0"/>
        <w:snapToGrid w:val="0"/>
        <w:spacing w:line="480" w:lineRule="auto"/>
        <w:ind w:left="360" w:hanging="360"/>
        <w:rPr>
          <w:sz w:val="22"/>
          <w:szCs w:val="22"/>
        </w:rPr>
      </w:pPr>
      <w:r w:rsidRPr="00F276E7">
        <w:rPr>
          <w:sz w:val="22"/>
          <w:szCs w:val="22"/>
        </w:rPr>
        <w:t>Lord, M</w:t>
      </w:r>
      <w:r w:rsidR="00916DB4" w:rsidRPr="00F276E7">
        <w:rPr>
          <w:sz w:val="22"/>
          <w:szCs w:val="22"/>
        </w:rPr>
        <w:t>.</w:t>
      </w:r>
      <w:r w:rsidRPr="00F276E7">
        <w:rPr>
          <w:sz w:val="22"/>
          <w:szCs w:val="22"/>
        </w:rPr>
        <w:t xml:space="preserve"> </w:t>
      </w:r>
      <w:r w:rsidR="001C062A" w:rsidRPr="00F276E7">
        <w:rPr>
          <w:sz w:val="22"/>
          <w:szCs w:val="22"/>
        </w:rPr>
        <w:t xml:space="preserve">D. </w:t>
      </w:r>
      <w:r w:rsidR="00916DB4" w:rsidRPr="00F276E7">
        <w:rPr>
          <w:sz w:val="22"/>
          <w:szCs w:val="22"/>
        </w:rPr>
        <w:t>&amp;</w:t>
      </w:r>
      <w:r w:rsidR="001C062A" w:rsidRPr="00F276E7">
        <w:rPr>
          <w:sz w:val="22"/>
          <w:szCs w:val="22"/>
        </w:rPr>
        <w:t xml:space="preserve"> </w:t>
      </w:r>
      <w:r w:rsidRPr="00F276E7">
        <w:rPr>
          <w:sz w:val="22"/>
          <w:szCs w:val="22"/>
        </w:rPr>
        <w:t>Ranft</w:t>
      </w:r>
      <w:r w:rsidR="00916DB4" w:rsidRPr="00F276E7">
        <w:rPr>
          <w:sz w:val="22"/>
          <w:szCs w:val="22"/>
        </w:rPr>
        <w:t>, A. L.</w:t>
      </w:r>
      <w:r w:rsidRPr="00F276E7">
        <w:rPr>
          <w:sz w:val="22"/>
          <w:szCs w:val="22"/>
        </w:rPr>
        <w:t xml:space="preserve"> 2000</w:t>
      </w:r>
      <w:r w:rsidR="00916DB4" w:rsidRPr="00F276E7">
        <w:rPr>
          <w:sz w:val="22"/>
          <w:szCs w:val="22"/>
        </w:rPr>
        <w:t>.</w:t>
      </w:r>
      <w:r w:rsidR="001C062A" w:rsidRPr="00F276E7">
        <w:rPr>
          <w:sz w:val="22"/>
          <w:szCs w:val="22"/>
        </w:rPr>
        <w:t xml:space="preserve"> Organizational Learning </w:t>
      </w:r>
      <w:r w:rsidR="00D40CD7" w:rsidRPr="00F276E7">
        <w:rPr>
          <w:sz w:val="22"/>
          <w:szCs w:val="22"/>
        </w:rPr>
        <w:t xml:space="preserve">about </w:t>
      </w:r>
      <w:r w:rsidR="001C062A" w:rsidRPr="00F276E7">
        <w:rPr>
          <w:sz w:val="22"/>
          <w:szCs w:val="22"/>
        </w:rPr>
        <w:t>New International Markets: Exploring the Internal Tra</w:t>
      </w:r>
      <w:r w:rsidRPr="00F276E7">
        <w:rPr>
          <w:sz w:val="22"/>
          <w:szCs w:val="22"/>
        </w:rPr>
        <w:t>nsfer of Local Market Knowledge</w:t>
      </w:r>
      <w:r w:rsidR="00916DB4" w:rsidRPr="00F276E7">
        <w:rPr>
          <w:sz w:val="22"/>
          <w:szCs w:val="22"/>
        </w:rPr>
        <w:t>.</w:t>
      </w:r>
      <w:r w:rsidR="001C062A" w:rsidRPr="00F276E7">
        <w:rPr>
          <w:sz w:val="22"/>
          <w:szCs w:val="22"/>
        </w:rPr>
        <w:t xml:space="preserve"> </w:t>
      </w:r>
      <w:r w:rsidR="001C062A" w:rsidRPr="00F276E7">
        <w:rPr>
          <w:i/>
          <w:sz w:val="22"/>
          <w:szCs w:val="22"/>
        </w:rPr>
        <w:t>Journal of International Business Studies</w:t>
      </w:r>
      <w:r w:rsidR="001C062A" w:rsidRPr="00F276E7">
        <w:rPr>
          <w:sz w:val="22"/>
          <w:szCs w:val="22"/>
        </w:rPr>
        <w:t>, 31</w:t>
      </w:r>
      <w:r w:rsidRPr="00F276E7">
        <w:rPr>
          <w:sz w:val="22"/>
          <w:szCs w:val="22"/>
        </w:rPr>
        <w:t>(4)</w:t>
      </w:r>
      <w:r w:rsidR="00916DB4" w:rsidRPr="00F276E7">
        <w:rPr>
          <w:sz w:val="22"/>
          <w:szCs w:val="22"/>
        </w:rPr>
        <w:t>:</w:t>
      </w:r>
      <w:r w:rsidR="001C062A" w:rsidRPr="00F276E7">
        <w:rPr>
          <w:sz w:val="22"/>
          <w:szCs w:val="22"/>
        </w:rPr>
        <w:t xml:space="preserve"> 573-89.</w:t>
      </w:r>
    </w:p>
    <w:p w14:paraId="3AAF172B" w14:textId="106864B7" w:rsidR="00B64C74" w:rsidRPr="00F276E7" w:rsidRDefault="00B64C74" w:rsidP="00F276E7">
      <w:pPr>
        <w:widowControl w:val="0"/>
        <w:snapToGrid w:val="0"/>
        <w:spacing w:line="480" w:lineRule="auto"/>
        <w:ind w:left="360" w:hanging="360"/>
        <w:rPr>
          <w:sz w:val="22"/>
          <w:szCs w:val="22"/>
        </w:rPr>
      </w:pPr>
      <w:proofErr w:type="spellStart"/>
      <w:r w:rsidRPr="00F276E7">
        <w:rPr>
          <w:sz w:val="22"/>
          <w:szCs w:val="22"/>
        </w:rPr>
        <w:lastRenderedPageBreak/>
        <w:t>Loriggio</w:t>
      </w:r>
      <w:proofErr w:type="spellEnd"/>
      <w:r w:rsidRPr="00F276E7">
        <w:rPr>
          <w:sz w:val="22"/>
          <w:szCs w:val="22"/>
        </w:rPr>
        <w:t>, P</w:t>
      </w:r>
      <w:r w:rsidR="00916DB4" w:rsidRPr="00F276E7">
        <w:rPr>
          <w:sz w:val="22"/>
          <w:szCs w:val="22"/>
        </w:rPr>
        <w:t xml:space="preserve">. </w:t>
      </w:r>
      <w:r w:rsidRPr="00F276E7">
        <w:rPr>
          <w:sz w:val="22"/>
          <w:szCs w:val="22"/>
        </w:rPr>
        <w:t>(2018), “Ontario to scrap Drive Clean emissions test, target heavy duty vehicles instead,” Financial Post (</w:t>
      </w:r>
      <w:r w:rsidR="00097B34" w:rsidRPr="00F276E7">
        <w:rPr>
          <w:sz w:val="22"/>
          <w:szCs w:val="22"/>
        </w:rPr>
        <w:t>September 28, 2018), https://business.financialpost.com/transportation/autos/ontario-to-scrap-drive-clean-emissions-test-target-heavy-duty-vehicles-instead</w:t>
      </w:r>
    </w:p>
    <w:p w14:paraId="35589952" w14:textId="6F98E981" w:rsidR="002A382F" w:rsidRPr="00F276E7" w:rsidRDefault="002A382F" w:rsidP="00F276E7">
      <w:pPr>
        <w:widowControl w:val="0"/>
        <w:tabs>
          <w:tab w:val="left" w:pos="270"/>
        </w:tabs>
        <w:snapToGrid w:val="0"/>
        <w:spacing w:line="480" w:lineRule="auto"/>
        <w:ind w:left="270" w:hanging="270"/>
        <w:rPr>
          <w:sz w:val="22"/>
          <w:szCs w:val="22"/>
        </w:rPr>
      </w:pPr>
      <w:r w:rsidRPr="00F276E7">
        <w:rPr>
          <w:sz w:val="22"/>
          <w:szCs w:val="22"/>
        </w:rPr>
        <w:t>Majid, K</w:t>
      </w:r>
      <w:r w:rsidR="00916DB4" w:rsidRPr="00F276E7">
        <w:rPr>
          <w:sz w:val="22"/>
          <w:szCs w:val="22"/>
        </w:rPr>
        <w:t xml:space="preserve">. </w:t>
      </w:r>
      <w:r w:rsidRPr="00F276E7">
        <w:rPr>
          <w:sz w:val="22"/>
          <w:szCs w:val="22"/>
        </w:rPr>
        <w:t>A</w:t>
      </w:r>
      <w:r w:rsidR="008B1EFF" w:rsidRPr="00F276E7">
        <w:rPr>
          <w:sz w:val="22"/>
          <w:szCs w:val="22"/>
        </w:rPr>
        <w:t>.</w:t>
      </w:r>
      <w:r w:rsidRPr="00F276E7">
        <w:rPr>
          <w:sz w:val="22"/>
          <w:szCs w:val="22"/>
        </w:rPr>
        <w:t xml:space="preserve"> </w:t>
      </w:r>
      <w:r w:rsidR="00916DB4" w:rsidRPr="00F276E7">
        <w:rPr>
          <w:sz w:val="22"/>
          <w:szCs w:val="22"/>
        </w:rPr>
        <w:t>&amp;</w:t>
      </w:r>
      <w:r w:rsidRPr="00F276E7">
        <w:rPr>
          <w:sz w:val="22"/>
          <w:szCs w:val="22"/>
        </w:rPr>
        <w:t xml:space="preserve"> </w:t>
      </w:r>
      <w:r w:rsidR="005039C3" w:rsidRPr="00F276E7">
        <w:rPr>
          <w:sz w:val="22"/>
          <w:szCs w:val="22"/>
        </w:rPr>
        <w:t>Rhee</w:t>
      </w:r>
      <w:r w:rsidR="00916DB4" w:rsidRPr="00F276E7">
        <w:rPr>
          <w:sz w:val="22"/>
          <w:szCs w:val="22"/>
        </w:rPr>
        <w:t xml:space="preserve">, M. </w:t>
      </w:r>
      <w:r w:rsidRPr="00F276E7">
        <w:rPr>
          <w:sz w:val="22"/>
          <w:szCs w:val="22"/>
        </w:rPr>
        <w:t>201</w:t>
      </w:r>
      <w:r w:rsidR="00721391" w:rsidRPr="00F276E7">
        <w:rPr>
          <w:sz w:val="22"/>
          <w:szCs w:val="22"/>
        </w:rPr>
        <w:t>8</w:t>
      </w:r>
      <w:r w:rsidR="00916DB4" w:rsidRPr="00F276E7">
        <w:rPr>
          <w:sz w:val="22"/>
          <w:szCs w:val="22"/>
        </w:rPr>
        <w:t>.</w:t>
      </w:r>
      <w:r w:rsidRPr="00F276E7">
        <w:rPr>
          <w:sz w:val="22"/>
          <w:szCs w:val="22"/>
        </w:rPr>
        <w:t xml:space="preserve"> </w:t>
      </w:r>
      <w:r w:rsidR="00721391" w:rsidRPr="00F276E7">
        <w:rPr>
          <w:sz w:val="22"/>
          <w:szCs w:val="22"/>
        </w:rPr>
        <w:t>Firm/product reputation and new-product recalls</w:t>
      </w:r>
      <w:r w:rsidR="00916DB4" w:rsidRPr="00F276E7">
        <w:rPr>
          <w:sz w:val="22"/>
          <w:szCs w:val="22"/>
        </w:rPr>
        <w:t>.</w:t>
      </w:r>
      <w:r w:rsidRPr="00F276E7">
        <w:rPr>
          <w:sz w:val="22"/>
          <w:szCs w:val="22"/>
        </w:rPr>
        <w:t xml:space="preserve"> </w:t>
      </w:r>
      <w:r w:rsidR="00721391" w:rsidRPr="00F276E7">
        <w:rPr>
          <w:i/>
          <w:sz w:val="22"/>
          <w:szCs w:val="22"/>
        </w:rPr>
        <w:t>Marketing Intelligence &amp; Planning</w:t>
      </w:r>
      <w:r w:rsidR="00721391" w:rsidRPr="00F276E7">
        <w:rPr>
          <w:sz w:val="22"/>
          <w:szCs w:val="22"/>
        </w:rPr>
        <w:t>, 36(5)</w:t>
      </w:r>
      <w:r w:rsidR="00916DB4" w:rsidRPr="00F276E7">
        <w:rPr>
          <w:sz w:val="22"/>
          <w:szCs w:val="22"/>
        </w:rPr>
        <w:t>:</w:t>
      </w:r>
      <w:r w:rsidR="00721391" w:rsidRPr="00F276E7">
        <w:rPr>
          <w:sz w:val="22"/>
          <w:szCs w:val="22"/>
        </w:rPr>
        <w:t xml:space="preserve"> 572-84.</w:t>
      </w:r>
    </w:p>
    <w:p w14:paraId="748D7B04" w14:textId="4A45C224" w:rsidR="00055C02" w:rsidRPr="00F276E7" w:rsidRDefault="008C4E9D" w:rsidP="00F276E7">
      <w:pPr>
        <w:widowControl w:val="0"/>
        <w:snapToGrid w:val="0"/>
        <w:spacing w:line="480" w:lineRule="auto"/>
        <w:ind w:left="360" w:hanging="360"/>
        <w:rPr>
          <w:sz w:val="22"/>
          <w:szCs w:val="22"/>
        </w:rPr>
      </w:pPr>
      <w:r w:rsidRPr="00F276E7">
        <w:rPr>
          <w:color w:val="1F1F1F"/>
          <w:sz w:val="22"/>
          <w:szCs w:val="22"/>
          <w:shd w:val="clear" w:color="auto" w:fill="FFFFFF"/>
        </w:rPr>
        <w:t>https://www.marklines.com/en/statistics/flash_sales/salesfig_germany</w:t>
      </w:r>
    </w:p>
    <w:p w14:paraId="304AB819" w14:textId="3A479561" w:rsidR="00BC4931" w:rsidRPr="00F276E7" w:rsidRDefault="00BC4931" w:rsidP="00F276E7">
      <w:pPr>
        <w:widowControl w:val="0"/>
        <w:snapToGrid w:val="0"/>
        <w:spacing w:line="480" w:lineRule="auto"/>
        <w:ind w:left="360" w:hanging="360"/>
        <w:rPr>
          <w:sz w:val="22"/>
          <w:szCs w:val="22"/>
        </w:rPr>
      </w:pPr>
      <w:proofErr w:type="spellStart"/>
      <w:r w:rsidRPr="00F276E7">
        <w:rPr>
          <w:sz w:val="22"/>
          <w:szCs w:val="22"/>
        </w:rPr>
        <w:t>Miocevic</w:t>
      </w:r>
      <w:proofErr w:type="spellEnd"/>
      <w:r w:rsidRPr="00F276E7">
        <w:rPr>
          <w:sz w:val="22"/>
          <w:szCs w:val="22"/>
        </w:rPr>
        <w:t xml:space="preserve">, D., </w:t>
      </w:r>
      <w:proofErr w:type="spellStart"/>
      <w:r w:rsidRPr="00F276E7">
        <w:rPr>
          <w:sz w:val="22"/>
          <w:szCs w:val="22"/>
        </w:rPr>
        <w:t>Gnizy</w:t>
      </w:r>
      <w:proofErr w:type="spellEnd"/>
      <w:r w:rsidRPr="00F276E7">
        <w:rPr>
          <w:sz w:val="22"/>
          <w:szCs w:val="22"/>
        </w:rPr>
        <w:t xml:space="preserve">, I., &amp; Cadogan, J. W. 2022. When does export customer responsiveness strategy contribute to export market competitive advantage? </w:t>
      </w:r>
      <w:r w:rsidRPr="00F276E7">
        <w:rPr>
          <w:i/>
          <w:iCs/>
          <w:sz w:val="22"/>
          <w:szCs w:val="22"/>
        </w:rPr>
        <w:t>International Marketing Review</w:t>
      </w:r>
      <w:r w:rsidRPr="00F276E7">
        <w:rPr>
          <w:sz w:val="22"/>
          <w:szCs w:val="22"/>
        </w:rPr>
        <w:t>, 40(3): 497-527.</w:t>
      </w:r>
    </w:p>
    <w:p w14:paraId="7BE92491" w14:textId="5C01E464" w:rsidR="00D92A77" w:rsidRPr="00F276E7" w:rsidRDefault="00D92A77" w:rsidP="00F276E7">
      <w:pPr>
        <w:widowControl w:val="0"/>
        <w:snapToGrid w:val="0"/>
        <w:spacing w:line="480" w:lineRule="auto"/>
        <w:ind w:left="360" w:hanging="360"/>
        <w:rPr>
          <w:sz w:val="22"/>
          <w:szCs w:val="22"/>
        </w:rPr>
      </w:pPr>
      <w:r w:rsidRPr="00F276E7">
        <w:rPr>
          <w:sz w:val="22"/>
          <w:szCs w:val="22"/>
        </w:rPr>
        <w:t>Montiel, I., Cuervo-</w:t>
      </w:r>
      <w:proofErr w:type="spellStart"/>
      <w:r w:rsidRPr="00F276E7">
        <w:rPr>
          <w:sz w:val="22"/>
          <w:szCs w:val="22"/>
        </w:rPr>
        <w:t>Cazurra</w:t>
      </w:r>
      <w:proofErr w:type="spellEnd"/>
      <w:r w:rsidRPr="00F276E7">
        <w:rPr>
          <w:sz w:val="22"/>
          <w:szCs w:val="22"/>
        </w:rPr>
        <w:t xml:space="preserve">, A., Park, J., Antolín-López, R., &amp; Husted, B. W. (2021). Implementing the United Nations’ sustainable development goals in international business. </w:t>
      </w:r>
      <w:r w:rsidRPr="00F276E7">
        <w:rPr>
          <w:i/>
          <w:iCs/>
          <w:sz w:val="22"/>
          <w:szCs w:val="22"/>
        </w:rPr>
        <w:t>Journal of International Business Studies</w:t>
      </w:r>
      <w:r w:rsidRPr="00F276E7">
        <w:rPr>
          <w:sz w:val="22"/>
          <w:szCs w:val="22"/>
        </w:rPr>
        <w:t xml:space="preserve">, </w:t>
      </w:r>
      <w:r w:rsidRPr="00F276E7">
        <w:rPr>
          <w:i/>
          <w:iCs/>
          <w:sz w:val="22"/>
          <w:szCs w:val="22"/>
        </w:rPr>
        <w:t>52</w:t>
      </w:r>
      <w:r w:rsidRPr="00F276E7">
        <w:rPr>
          <w:sz w:val="22"/>
          <w:szCs w:val="22"/>
        </w:rPr>
        <w:t>(5), 999-1030.</w:t>
      </w:r>
    </w:p>
    <w:p w14:paraId="238CF432" w14:textId="7DF3DCC9" w:rsidR="001F06DB" w:rsidRPr="00F276E7" w:rsidRDefault="001F06DB" w:rsidP="00F276E7">
      <w:pPr>
        <w:widowControl w:val="0"/>
        <w:snapToGrid w:val="0"/>
        <w:spacing w:line="480" w:lineRule="auto"/>
        <w:ind w:left="360" w:hanging="360"/>
        <w:rPr>
          <w:sz w:val="22"/>
          <w:szCs w:val="22"/>
        </w:rPr>
      </w:pPr>
      <w:r w:rsidRPr="00F276E7">
        <w:rPr>
          <w:sz w:val="22"/>
          <w:szCs w:val="22"/>
        </w:rPr>
        <w:t xml:space="preserve">Montiel, I., Park, J., Husted, B. W., &amp; Velez-Calle, A. (2022). Tracing the connections between international business and communicable diseases. </w:t>
      </w:r>
      <w:r w:rsidRPr="00F276E7">
        <w:rPr>
          <w:i/>
          <w:iCs/>
          <w:sz w:val="22"/>
          <w:szCs w:val="22"/>
        </w:rPr>
        <w:t>Journal of International Business Studies</w:t>
      </w:r>
      <w:r w:rsidRPr="00F276E7">
        <w:rPr>
          <w:sz w:val="22"/>
          <w:szCs w:val="22"/>
        </w:rPr>
        <w:t xml:space="preserve">, </w:t>
      </w:r>
      <w:r w:rsidRPr="00F276E7">
        <w:rPr>
          <w:i/>
          <w:iCs/>
          <w:sz w:val="22"/>
          <w:szCs w:val="22"/>
        </w:rPr>
        <w:t>53</w:t>
      </w:r>
      <w:r w:rsidRPr="00F276E7">
        <w:rPr>
          <w:sz w:val="22"/>
          <w:szCs w:val="22"/>
        </w:rPr>
        <w:t>(8), 1785-1804.</w:t>
      </w:r>
    </w:p>
    <w:p w14:paraId="17241439" w14:textId="6A5DEC9A" w:rsidR="00D83D82" w:rsidRPr="00F276E7" w:rsidRDefault="00D83D82" w:rsidP="00F276E7">
      <w:pPr>
        <w:widowControl w:val="0"/>
        <w:snapToGrid w:val="0"/>
        <w:spacing w:line="480" w:lineRule="auto"/>
        <w:ind w:left="360" w:hanging="360"/>
        <w:rPr>
          <w:sz w:val="22"/>
          <w:szCs w:val="22"/>
        </w:rPr>
      </w:pPr>
      <w:r w:rsidRPr="00F276E7">
        <w:rPr>
          <w:sz w:val="22"/>
          <w:szCs w:val="22"/>
        </w:rPr>
        <w:t>Mowen, J</w:t>
      </w:r>
      <w:r w:rsidR="00916DB4" w:rsidRPr="00F276E7">
        <w:rPr>
          <w:sz w:val="22"/>
          <w:szCs w:val="22"/>
        </w:rPr>
        <w:t>.</w:t>
      </w:r>
      <w:r w:rsidR="005039C3" w:rsidRPr="00F276E7">
        <w:rPr>
          <w:sz w:val="22"/>
          <w:szCs w:val="22"/>
        </w:rPr>
        <w:t xml:space="preserve"> </w:t>
      </w:r>
      <w:r w:rsidRPr="00F276E7">
        <w:rPr>
          <w:sz w:val="22"/>
          <w:szCs w:val="22"/>
        </w:rPr>
        <w:t xml:space="preserve">C., </w:t>
      </w:r>
      <w:r w:rsidR="005039C3" w:rsidRPr="00F276E7">
        <w:rPr>
          <w:sz w:val="22"/>
          <w:szCs w:val="22"/>
        </w:rPr>
        <w:t>Jolly,</w:t>
      </w:r>
      <w:r w:rsidRPr="00F276E7">
        <w:rPr>
          <w:sz w:val="22"/>
          <w:szCs w:val="22"/>
        </w:rPr>
        <w:t xml:space="preserve"> </w:t>
      </w:r>
      <w:r w:rsidR="00916DB4" w:rsidRPr="00F276E7">
        <w:rPr>
          <w:sz w:val="22"/>
          <w:szCs w:val="22"/>
        </w:rPr>
        <w:t xml:space="preserve">D., &amp; </w:t>
      </w:r>
      <w:r w:rsidR="005039C3" w:rsidRPr="00F276E7">
        <w:rPr>
          <w:sz w:val="22"/>
          <w:szCs w:val="22"/>
        </w:rPr>
        <w:t>Nickell</w:t>
      </w:r>
      <w:r w:rsidR="00916DB4" w:rsidRPr="00F276E7">
        <w:rPr>
          <w:sz w:val="22"/>
          <w:szCs w:val="22"/>
        </w:rPr>
        <w:t>, G. S.</w:t>
      </w:r>
      <w:r w:rsidR="005039C3" w:rsidRPr="00F276E7">
        <w:rPr>
          <w:sz w:val="22"/>
          <w:szCs w:val="22"/>
        </w:rPr>
        <w:t xml:space="preserve"> 1981</w:t>
      </w:r>
      <w:r w:rsidR="00916DB4" w:rsidRPr="00F276E7">
        <w:rPr>
          <w:sz w:val="22"/>
          <w:szCs w:val="22"/>
        </w:rPr>
        <w:t>.</w:t>
      </w:r>
      <w:r w:rsidRPr="00F276E7">
        <w:rPr>
          <w:sz w:val="22"/>
          <w:szCs w:val="22"/>
        </w:rPr>
        <w:t xml:space="preserve"> Factors Influencing Consumer Responses to Product Recalls: A Regression Analys</w:t>
      </w:r>
      <w:r w:rsidR="00F358E3" w:rsidRPr="00F276E7">
        <w:rPr>
          <w:sz w:val="22"/>
          <w:szCs w:val="22"/>
        </w:rPr>
        <w:t>is Approach</w:t>
      </w:r>
      <w:r w:rsidR="00916DB4" w:rsidRPr="00F276E7">
        <w:rPr>
          <w:sz w:val="22"/>
          <w:szCs w:val="22"/>
        </w:rPr>
        <w:t>.</w:t>
      </w:r>
      <w:r w:rsidRPr="00F276E7">
        <w:rPr>
          <w:sz w:val="22"/>
          <w:szCs w:val="22"/>
        </w:rPr>
        <w:t xml:space="preserve"> </w:t>
      </w:r>
      <w:r w:rsidR="002D7733" w:rsidRPr="00F276E7">
        <w:rPr>
          <w:i/>
          <w:sz w:val="22"/>
          <w:szCs w:val="22"/>
        </w:rPr>
        <w:t>Advances in</w:t>
      </w:r>
      <w:r w:rsidRPr="00F276E7">
        <w:rPr>
          <w:i/>
          <w:sz w:val="22"/>
          <w:szCs w:val="22"/>
        </w:rPr>
        <w:t xml:space="preserve"> Consumer Research</w:t>
      </w:r>
      <w:r w:rsidR="005039C3" w:rsidRPr="00F276E7">
        <w:rPr>
          <w:sz w:val="22"/>
          <w:szCs w:val="22"/>
        </w:rPr>
        <w:t>,</w:t>
      </w:r>
      <w:r w:rsidRPr="00F276E7">
        <w:rPr>
          <w:sz w:val="22"/>
          <w:szCs w:val="22"/>
        </w:rPr>
        <w:t xml:space="preserve"> 405-07.</w:t>
      </w:r>
    </w:p>
    <w:p w14:paraId="4F03425F" w14:textId="2A09CCB2" w:rsidR="00FF5B74" w:rsidRPr="00F276E7" w:rsidRDefault="00FF5B74" w:rsidP="00F276E7">
      <w:pPr>
        <w:widowControl w:val="0"/>
        <w:autoSpaceDE w:val="0"/>
        <w:autoSpaceDN w:val="0"/>
        <w:adjustRightInd w:val="0"/>
        <w:snapToGrid w:val="0"/>
        <w:spacing w:line="480" w:lineRule="auto"/>
        <w:ind w:left="360" w:right="-180" w:hanging="360"/>
        <w:rPr>
          <w:color w:val="222222"/>
          <w:sz w:val="22"/>
          <w:szCs w:val="22"/>
          <w:shd w:val="clear" w:color="auto" w:fill="FFFFFF"/>
        </w:rPr>
      </w:pPr>
      <w:r w:rsidRPr="00F276E7">
        <w:rPr>
          <w:color w:val="222222"/>
          <w:sz w:val="22"/>
          <w:szCs w:val="22"/>
          <w:shd w:val="clear" w:color="auto" w:fill="FFFFFF"/>
        </w:rPr>
        <w:t xml:space="preserve">Mudambi, R. &amp; Navarra, P. 2002. Institutions and international business: a theoretical overview. </w:t>
      </w:r>
      <w:r w:rsidRPr="00F276E7">
        <w:rPr>
          <w:i/>
          <w:iCs/>
          <w:color w:val="222222"/>
          <w:sz w:val="22"/>
          <w:szCs w:val="22"/>
          <w:shd w:val="clear" w:color="auto" w:fill="FFFFFF"/>
        </w:rPr>
        <w:t>International Business Review</w:t>
      </w:r>
      <w:r w:rsidRPr="00F276E7">
        <w:rPr>
          <w:color w:val="222222"/>
          <w:sz w:val="22"/>
          <w:szCs w:val="22"/>
          <w:shd w:val="clear" w:color="auto" w:fill="FFFFFF"/>
        </w:rPr>
        <w:t>, 11, 635-646.</w:t>
      </w:r>
    </w:p>
    <w:p w14:paraId="515105B1" w14:textId="6D6343CC" w:rsidR="00F237C9" w:rsidRPr="00F276E7" w:rsidRDefault="00F237C9" w:rsidP="00F276E7">
      <w:pPr>
        <w:widowControl w:val="0"/>
        <w:autoSpaceDE w:val="0"/>
        <w:autoSpaceDN w:val="0"/>
        <w:adjustRightInd w:val="0"/>
        <w:snapToGrid w:val="0"/>
        <w:spacing w:line="480" w:lineRule="auto"/>
        <w:ind w:left="360" w:right="-180" w:hanging="360"/>
        <w:rPr>
          <w:color w:val="222222"/>
          <w:sz w:val="22"/>
          <w:szCs w:val="22"/>
          <w:shd w:val="clear" w:color="auto" w:fill="FFFFFF"/>
        </w:rPr>
      </w:pPr>
      <w:r w:rsidRPr="00F276E7">
        <w:rPr>
          <w:color w:val="222222"/>
          <w:sz w:val="22"/>
          <w:szCs w:val="22"/>
          <w:shd w:val="clear" w:color="auto" w:fill="FFFFFF"/>
        </w:rPr>
        <w:t xml:space="preserve">Muralidharan, E., Hora, M., &amp; Bapuji, H. (2022). Hazard severity and time to recall: evidence from the toy industry. </w:t>
      </w:r>
      <w:r w:rsidRPr="00F276E7">
        <w:rPr>
          <w:i/>
          <w:iCs/>
          <w:color w:val="222222"/>
          <w:sz w:val="22"/>
          <w:szCs w:val="22"/>
          <w:shd w:val="clear" w:color="auto" w:fill="FFFFFF"/>
        </w:rPr>
        <w:t>Journal of Business Research</w:t>
      </w:r>
      <w:r w:rsidRPr="00F276E7">
        <w:rPr>
          <w:color w:val="222222"/>
          <w:sz w:val="22"/>
          <w:szCs w:val="22"/>
          <w:shd w:val="clear" w:color="auto" w:fill="FFFFFF"/>
        </w:rPr>
        <w:t xml:space="preserve">, </w:t>
      </w:r>
      <w:r w:rsidRPr="00F276E7">
        <w:rPr>
          <w:i/>
          <w:iCs/>
          <w:color w:val="222222"/>
          <w:sz w:val="22"/>
          <w:szCs w:val="22"/>
          <w:shd w:val="clear" w:color="auto" w:fill="FFFFFF"/>
        </w:rPr>
        <w:t>139</w:t>
      </w:r>
      <w:r w:rsidRPr="00F276E7">
        <w:rPr>
          <w:color w:val="222222"/>
          <w:sz w:val="22"/>
          <w:szCs w:val="22"/>
          <w:shd w:val="clear" w:color="auto" w:fill="FFFFFF"/>
        </w:rPr>
        <w:t>, 954-963.</w:t>
      </w:r>
    </w:p>
    <w:p w14:paraId="7DC91C5B" w14:textId="2DEF43A8" w:rsidR="0030194A" w:rsidRPr="00F276E7" w:rsidRDefault="0030194A" w:rsidP="00F276E7">
      <w:pPr>
        <w:widowControl w:val="0"/>
        <w:autoSpaceDE w:val="0"/>
        <w:autoSpaceDN w:val="0"/>
        <w:adjustRightInd w:val="0"/>
        <w:snapToGrid w:val="0"/>
        <w:spacing w:line="480" w:lineRule="auto"/>
        <w:ind w:left="360" w:right="-180" w:hanging="360"/>
        <w:rPr>
          <w:color w:val="222222"/>
          <w:sz w:val="22"/>
          <w:szCs w:val="22"/>
          <w:shd w:val="clear" w:color="auto" w:fill="FFFFFF"/>
        </w:rPr>
      </w:pPr>
      <w:r w:rsidRPr="00F276E7">
        <w:rPr>
          <w:color w:val="222222"/>
          <w:sz w:val="22"/>
          <w:szCs w:val="22"/>
          <w:shd w:val="clear" w:color="auto" w:fill="FFFFFF"/>
        </w:rPr>
        <w:t>Ohmae, K. 1990. The borderless world. </w:t>
      </w:r>
      <w:r w:rsidRPr="00F276E7">
        <w:rPr>
          <w:i/>
          <w:iCs/>
          <w:color w:val="222222"/>
          <w:sz w:val="22"/>
          <w:szCs w:val="22"/>
          <w:shd w:val="clear" w:color="auto" w:fill="FFFFFF"/>
        </w:rPr>
        <w:t>McKinsey Quarterly</w:t>
      </w:r>
      <w:r w:rsidRPr="00F276E7">
        <w:rPr>
          <w:color w:val="222222"/>
          <w:sz w:val="22"/>
          <w:szCs w:val="22"/>
          <w:shd w:val="clear" w:color="auto" w:fill="FFFFFF"/>
        </w:rPr>
        <w:t>, (3)</w:t>
      </w:r>
      <w:r w:rsidR="00D330B3" w:rsidRPr="00F276E7">
        <w:rPr>
          <w:color w:val="222222"/>
          <w:sz w:val="22"/>
          <w:szCs w:val="22"/>
          <w:shd w:val="clear" w:color="auto" w:fill="FFFFFF"/>
        </w:rPr>
        <w:t>:</w:t>
      </w:r>
      <w:r w:rsidRPr="00F276E7">
        <w:rPr>
          <w:color w:val="222222"/>
          <w:sz w:val="22"/>
          <w:szCs w:val="22"/>
          <w:shd w:val="clear" w:color="auto" w:fill="FFFFFF"/>
        </w:rPr>
        <w:t xml:space="preserve"> 3-19.</w:t>
      </w:r>
    </w:p>
    <w:p w14:paraId="5A9EBFD0" w14:textId="1C677E6B" w:rsidR="00FF5B74" w:rsidRPr="00F276E7" w:rsidRDefault="00FF5B74" w:rsidP="00F276E7">
      <w:pPr>
        <w:widowControl w:val="0"/>
        <w:autoSpaceDE w:val="0"/>
        <w:autoSpaceDN w:val="0"/>
        <w:adjustRightInd w:val="0"/>
        <w:snapToGrid w:val="0"/>
        <w:spacing w:line="480" w:lineRule="auto"/>
        <w:ind w:left="360" w:right="-180" w:hanging="360"/>
        <w:rPr>
          <w:sz w:val="22"/>
          <w:szCs w:val="22"/>
        </w:rPr>
      </w:pPr>
      <w:r w:rsidRPr="00F276E7">
        <w:rPr>
          <w:color w:val="222222"/>
          <w:sz w:val="22"/>
          <w:szCs w:val="22"/>
          <w:shd w:val="clear" w:color="auto" w:fill="FFFFFF"/>
        </w:rPr>
        <w:t xml:space="preserve">Park, J., Montiel, I., Husted, B. W., &amp; Balarezo, R. 2022. The Grand Challenge of Human Health: A Review and an Urgent Call for Business-Health Research, </w:t>
      </w:r>
      <w:r w:rsidRPr="00F276E7">
        <w:rPr>
          <w:i/>
          <w:iCs/>
          <w:color w:val="222222"/>
          <w:sz w:val="22"/>
          <w:szCs w:val="22"/>
          <w:shd w:val="clear" w:color="auto" w:fill="FFFFFF"/>
        </w:rPr>
        <w:t>Business &amp; Society</w:t>
      </w:r>
      <w:r w:rsidRPr="00F276E7">
        <w:rPr>
          <w:color w:val="222222"/>
          <w:sz w:val="22"/>
          <w:szCs w:val="22"/>
          <w:shd w:val="clear" w:color="auto" w:fill="FFFFFF"/>
        </w:rPr>
        <w:t>, 61(5): 1353-1415.</w:t>
      </w:r>
    </w:p>
    <w:p w14:paraId="59603B09" w14:textId="4C502A03" w:rsidR="000E2D90" w:rsidRPr="00F276E7" w:rsidRDefault="001A1BF1" w:rsidP="00F276E7">
      <w:pPr>
        <w:widowControl w:val="0"/>
        <w:autoSpaceDE w:val="0"/>
        <w:autoSpaceDN w:val="0"/>
        <w:adjustRightInd w:val="0"/>
        <w:snapToGrid w:val="0"/>
        <w:spacing w:line="480" w:lineRule="auto"/>
        <w:ind w:left="360" w:right="-180" w:hanging="360"/>
        <w:rPr>
          <w:sz w:val="22"/>
          <w:szCs w:val="22"/>
        </w:rPr>
      </w:pPr>
      <w:r w:rsidRPr="00F276E7">
        <w:rPr>
          <w:sz w:val="22"/>
          <w:szCs w:val="22"/>
        </w:rPr>
        <w:t>Peng, M</w:t>
      </w:r>
      <w:r w:rsidR="00916DB4" w:rsidRPr="00F276E7">
        <w:rPr>
          <w:sz w:val="22"/>
          <w:szCs w:val="22"/>
        </w:rPr>
        <w:t>.</w:t>
      </w:r>
      <w:r w:rsidRPr="00F276E7">
        <w:rPr>
          <w:sz w:val="22"/>
          <w:szCs w:val="22"/>
        </w:rPr>
        <w:t xml:space="preserve"> </w:t>
      </w:r>
      <w:r w:rsidR="000E2D90" w:rsidRPr="00F276E7">
        <w:rPr>
          <w:sz w:val="22"/>
          <w:szCs w:val="22"/>
        </w:rPr>
        <w:t>W.</w:t>
      </w:r>
      <w:r w:rsidR="00916DB4" w:rsidRPr="00F276E7">
        <w:rPr>
          <w:sz w:val="22"/>
          <w:szCs w:val="22"/>
        </w:rPr>
        <w:t xml:space="preserve"> </w:t>
      </w:r>
      <w:r w:rsidRPr="00F276E7">
        <w:rPr>
          <w:sz w:val="22"/>
          <w:szCs w:val="22"/>
        </w:rPr>
        <w:t>2003</w:t>
      </w:r>
      <w:r w:rsidR="00916DB4" w:rsidRPr="00F276E7">
        <w:rPr>
          <w:sz w:val="22"/>
          <w:szCs w:val="22"/>
        </w:rPr>
        <w:t>.</w:t>
      </w:r>
      <w:r w:rsidR="000E2D90" w:rsidRPr="00F276E7">
        <w:rPr>
          <w:sz w:val="22"/>
          <w:szCs w:val="22"/>
        </w:rPr>
        <w:t xml:space="preserve"> Institutional tr</w:t>
      </w:r>
      <w:r w:rsidRPr="00F276E7">
        <w:rPr>
          <w:sz w:val="22"/>
          <w:szCs w:val="22"/>
        </w:rPr>
        <w:t>ansitions and strategic choices</w:t>
      </w:r>
      <w:r w:rsidR="00916DB4" w:rsidRPr="00F276E7">
        <w:rPr>
          <w:sz w:val="22"/>
          <w:szCs w:val="22"/>
        </w:rPr>
        <w:t>.</w:t>
      </w:r>
      <w:r w:rsidR="000E2D90" w:rsidRPr="00F276E7">
        <w:rPr>
          <w:sz w:val="22"/>
          <w:szCs w:val="22"/>
        </w:rPr>
        <w:t xml:space="preserve"> </w:t>
      </w:r>
      <w:r w:rsidR="000E2D90" w:rsidRPr="00F276E7">
        <w:rPr>
          <w:i/>
          <w:sz w:val="22"/>
          <w:szCs w:val="22"/>
        </w:rPr>
        <w:t>Academy of Management Review</w:t>
      </w:r>
      <w:r w:rsidRPr="00F276E7">
        <w:rPr>
          <w:sz w:val="22"/>
          <w:szCs w:val="22"/>
        </w:rPr>
        <w:t>, 28(2)</w:t>
      </w:r>
      <w:r w:rsidR="00916DB4" w:rsidRPr="00F276E7">
        <w:rPr>
          <w:sz w:val="22"/>
          <w:szCs w:val="22"/>
        </w:rPr>
        <w:t>:</w:t>
      </w:r>
      <w:r w:rsidRPr="00F276E7">
        <w:rPr>
          <w:sz w:val="22"/>
          <w:szCs w:val="22"/>
        </w:rPr>
        <w:t xml:space="preserve"> </w:t>
      </w:r>
      <w:r w:rsidR="000E2D90" w:rsidRPr="00F276E7">
        <w:rPr>
          <w:sz w:val="22"/>
          <w:szCs w:val="22"/>
        </w:rPr>
        <w:t>275-96.</w:t>
      </w:r>
    </w:p>
    <w:p w14:paraId="0BDB2233" w14:textId="23CD45B3" w:rsidR="00EC29BB" w:rsidRPr="00F276E7" w:rsidRDefault="00EC29BB" w:rsidP="00F276E7">
      <w:pPr>
        <w:widowControl w:val="0"/>
        <w:autoSpaceDE w:val="0"/>
        <w:autoSpaceDN w:val="0"/>
        <w:adjustRightInd w:val="0"/>
        <w:snapToGrid w:val="0"/>
        <w:spacing w:line="480" w:lineRule="auto"/>
        <w:ind w:left="360" w:right="-180" w:hanging="360"/>
        <w:rPr>
          <w:sz w:val="22"/>
          <w:szCs w:val="22"/>
        </w:rPr>
      </w:pPr>
      <w:r w:rsidRPr="00F276E7">
        <w:rPr>
          <w:color w:val="222222"/>
          <w:sz w:val="22"/>
          <w:szCs w:val="22"/>
          <w:shd w:val="clear" w:color="auto" w:fill="FFFFFF"/>
        </w:rPr>
        <w:t xml:space="preserve">Reinartz, W., Thomas, J. S., &amp; Kumar, V. 2005. Balancing acquisition and retention resources to maximize </w:t>
      </w:r>
      <w:r w:rsidRPr="00F276E7">
        <w:rPr>
          <w:color w:val="222222"/>
          <w:sz w:val="22"/>
          <w:szCs w:val="22"/>
          <w:shd w:val="clear" w:color="auto" w:fill="FFFFFF"/>
        </w:rPr>
        <w:lastRenderedPageBreak/>
        <w:t>customer profitability. </w:t>
      </w:r>
      <w:r w:rsidRPr="00F276E7">
        <w:rPr>
          <w:i/>
          <w:iCs/>
          <w:color w:val="222222"/>
          <w:sz w:val="22"/>
          <w:szCs w:val="22"/>
          <w:shd w:val="clear" w:color="auto" w:fill="FFFFFF"/>
        </w:rPr>
        <w:t>Journal of marketing</w:t>
      </w:r>
      <w:r w:rsidRPr="00F276E7">
        <w:rPr>
          <w:color w:val="222222"/>
          <w:sz w:val="22"/>
          <w:szCs w:val="22"/>
          <w:shd w:val="clear" w:color="auto" w:fill="FFFFFF"/>
        </w:rPr>
        <w:t>, 69(1)</w:t>
      </w:r>
      <w:r w:rsidR="00916DB4" w:rsidRPr="00F276E7">
        <w:rPr>
          <w:color w:val="222222"/>
          <w:sz w:val="22"/>
          <w:szCs w:val="22"/>
          <w:shd w:val="clear" w:color="auto" w:fill="FFFFFF"/>
        </w:rPr>
        <w:t>:</w:t>
      </w:r>
      <w:r w:rsidRPr="00F276E7">
        <w:rPr>
          <w:color w:val="222222"/>
          <w:sz w:val="22"/>
          <w:szCs w:val="22"/>
          <w:shd w:val="clear" w:color="auto" w:fill="FFFFFF"/>
        </w:rPr>
        <w:t xml:space="preserve"> 63-79.</w:t>
      </w:r>
    </w:p>
    <w:p w14:paraId="3D3293F7" w14:textId="66773BD2" w:rsidR="00202989" w:rsidRPr="006324E2" w:rsidRDefault="00202989" w:rsidP="00F276E7">
      <w:pPr>
        <w:pStyle w:val="NormalWeb"/>
        <w:widowControl w:val="0"/>
        <w:snapToGrid w:val="0"/>
        <w:spacing w:before="0" w:beforeAutospacing="0" w:after="0" w:afterAutospacing="0" w:line="480" w:lineRule="auto"/>
        <w:ind w:left="360" w:hanging="360"/>
        <w:rPr>
          <w:sz w:val="22"/>
          <w:szCs w:val="22"/>
        </w:rPr>
      </w:pPr>
      <w:r w:rsidRPr="006324E2">
        <w:rPr>
          <w:sz w:val="22"/>
          <w:szCs w:val="22"/>
        </w:rPr>
        <w:t xml:space="preserve">Ramseyer, J.M. &amp; Rasmusen, E. B. 2010. Comparative Litigation Rates. </w:t>
      </w:r>
      <w:r w:rsidRPr="006324E2">
        <w:rPr>
          <w:i/>
          <w:iCs/>
          <w:sz w:val="22"/>
          <w:szCs w:val="22"/>
        </w:rPr>
        <w:t>John M. Olin Center for Law, Economics, and Business – Harvard Law School</w:t>
      </w:r>
      <w:r w:rsidRPr="006324E2">
        <w:rPr>
          <w:sz w:val="22"/>
          <w:szCs w:val="22"/>
        </w:rPr>
        <w:t xml:space="preserve">, Discussion Paper No. 681. </w:t>
      </w:r>
    </w:p>
    <w:p w14:paraId="6C93C499" w14:textId="16FE849F" w:rsidR="00811ECE" w:rsidRPr="006324E2" w:rsidRDefault="00811ECE" w:rsidP="00F276E7">
      <w:pPr>
        <w:pStyle w:val="NormalWeb"/>
        <w:widowControl w:val="0"/>
        <w:snapToGrid w:val="0"/>
        <w:spacing w:before="0" w:beforeAutospacing="0" w:after="0" w:afterAutospacing="0" w:line="480" w:lineRule="auto"/>
        <w:ind w:left="360" w:hanging="360"/>
        <w:rPr>
          <w:sz w:val="22"/>
          <w:szCs w:val="22"/>
        </w:rPr>
      </w:pPr>
      <w:r w:rsidRPr="006324E2">
        <w:rPr>
          <w:sz w:val="22"/>
          <w:szCs w:val="22"/>
        </w:rPr>
        <w:t>Rhee, M</w:t>
      </w:r>
      <w:r w:rsidR="00916DB4" w:rsidRPr="006324E2">
        <w:rPr>
          <w:sz w:val="22"/>
          <w:szCs w:val="22"/>
        </w:rPr>
        <w:t>.</w:t>
      </w:r>
      <w:r w:rsidRPr="006324E2">
        <w:rPr>
          <w:sz w:val="22"/>
          <w:szCs w:val="22"/>
        </w:rPr>
        <w:t xml:space="preserve"> </w:t>
      </w:r>
      <w:r w:rsidR="00916DB4" w:rsidRPr="006324E2">
        <w:rPr>
          <w:sz w:val="22"/>
          <w:szCs w:val="22"/>
        </w:rPr>
        <w:t xml:space="preserve">&amp; </w:t>
      </w:r>
      <w:r w:rsidR="00F358E3" w:rsidRPr="006324E2">
        <w:rPr>
          <w:sz w:val="22"/>
          <w:szCs w:val="22"/>
        </w:rPr>
        <w:t>Haunsch</w:t>
      </w:r>
      <w:r w:rsidR="00627072" w:rsidRPr="006324E2">
        <w:rPr>
          <w:sz w:val="22"/>
          <w:szCs w:val="22"/>
        </w:rPr>
        <w:t>ild</w:t>
      </w:r>
      <w:r w:rsidR="00916DB4" w:rsidRPr="006324E2">
        <w:rPr>
          <w:sz w:val="22"/>
          <w:szCs w:val="22"/>
        </w:rPr>
        <w:t>, P. R.</w:t>
      </w:r>
      <w:r w:rsidR="00F358E3" w:rsidRPr="006324E2">
        <w:rPr>
          <w:sz w:val="22"/>
          <w:szCs w:val="22"/>
        </w:rPr>
        <w:t xml:space="preserve"> </w:t>
      </w:r>
      <w:r w:rsidR="00627072" w:rsidRPr="006324E2">
        <w:rPr>
          <w:sz w:val="22"/>
          <w:szCs w:val="22"/>
        </w:rPr>
        <w:t>2006</w:t>
      </w:r>
      <w:r w:rsidR="00916DB4" w:rsidRPr="006324E2">
        <w:rPr>
          <w:sz w:val="22"/>
          <w:szCs w:val="22"/>
        </w:rPr>
        <w:t>.</w:t>
      </w:r>
      <w:r w:rsidR="00F358E3" w:rsidRPr="006324E2">
        <w:rPr>
          <w:sz w:val="22"/>
          <w:szCs w:val="22"/>
        </w:rPr>
        <w:t xml:space="preserve"> </w:t>
      </w:r>
      <w:r w:rsidRPr="006324E2">
        <w:rPr>
          <w:sz w:val="22"/>
          <w:szCs w:val="22"/>
        </w:rPr>
        <w:t>The Liability of Good Reputation: A Study of Product Recalls in the U.S. Automobile Industry</w:t>
      </w:r>
      <w:r w:rsidR="00916DB4" w:rsidRPr="006324E2">
        <w:rPr>
          <w:sz w:val="22"/>
          <w:szCs w:val="22"/>
        </w:rPr>
        <w:t>.</w:t>
      </w:r>
      <w:r w:rsidRPr="006324E2">
        <w:rPr>
          <w:sz w:val="22"/>
          <w:szCs w:val="22"/>
        </w:rPr>
        <w:t xml:space="preserve"> </w:t>
      </w:r>
      <w:r w:rsidRPr="006324E2">
        <w:rPr>
          <w:i/>
          <w:iCs/>
          <w:sz w:val="22"/>
          <w:szCs w:val="22"/>
        </w:rPr>
        <w:t xml:space="preserve">Organization Science, </w:t>
      </w:r>
      <w:r w:rsidR="00F358E3" w:rsidRPr="006324E2">
        <w:rPr>
          <w:sz w:val="22"/>
          <w:szCs w:val="22"/>
        </w:rPr>
        <w:t>17</w:t>
      </w:r>
      <w:r w:rsidRPr="006324E2">
        <w:rPr>
          <w:sz w:val="22"/>
          <w:szCs w:val="22"/>
        </w:rPr>
        <w:t>(</w:t>
      </w:r>
      <w:r w:rsidR="00627072" w:rsidRPr="006324E2">
        <w:rPr>
          <w:sz w:val="22"/>
          <w:szCs w:val="22"/>
        </w:rPr>
        <w:t>1</w:t>
      </w:r>
      <w:r w:rsidRPr="006324E2">
        <w:rPr>
          <w:sz w:val="22"/>
          <w:szCs w:val="22"/>
        </w:rPr>
        <w:t>)</w:t>
      </w:r>
      <w:r w:rsidR="00916DB4" w:rsidRPr="006324E2">
        <w:rPr>
          <w:sz w:val="22"/>
          <w:szCs w:val="22"/>
        </w:rPr>
        <w:t>:</w:t>
      </w:r>
      <w:r w:rsidRPr="006324E2">
        <w:rPr>
          <w:sz w:val="22"/>
          <w:szCs w:val="22"/>
        </w:rPr>
        <w:t xml:space="preserve"> 101-</w:t>
      </w:r>
      <w:r w:rsidR="00916DB4" w:rsidRPr="006324E2">
        <w:rPr>
          <w:sz w:val="22"/>
          <w:szCs w:val="22"/>
        </w:rPr>
        <w:t>1</w:t>
      </w:r>
      <w:r w:rsidRPr="006324E2">
        <w:rPr>
          <w:sz w:val="22"/>
          <w:szCs w:val="22"/>
        </w:rPr>
        <w:t>17.</w:t>
      </w:r>
    </w:p>
    <w:p w14:paraId="0B9AF61F" w14:textId="04B9C62D" w:rsidR="00EC29BB" w:rsidRPr="006324E2" w:rsidRDefault="00EC29BB" w:rsidP="00F276E7">
      <w:pPr>
        <w:pStyle w:val="NormalWeb"/>
        <w:widowControl w:val="0"/>
        <w:snapToGrid w:val="0"/>
        <w:spacing w:before="0" w:beforeAutospacing="0" w:after="0" w:afterAutospacing="0" w:line="480" w:lineRule="auto"/>
        <w:ind w:left="360" w:hanging="360"/>
        <w:rPr>
          <w:sz w:val="22"/>
          <w:szCs w:val="22"/>
        </w:rPr>
      </w:pPr>
      <w:proofErr w:type="spellStart"/>
      <w:r w:rsidRPr="006324E2">
        <w:rPr>
          <w:sz w:val="22"/>
          <w:szCs w:val="22"/>
        </w:rPr>
        <w:t>Roos</w:t>
      </w:r>
      <w:proofErr w:type="spellEnd"/>
      <w:r w:rsidRPr="006324E2">
        <w:rPr>
          <w:sz w:val="22"/>
          <w:szCs w:val="22"/>
        </w:rPr>
        <w:t xml:space="preserve">, D. 2020. When New Seat Belt Laws Drew Fire as a Violation of Personal Freedom. History, Available from: </w:t>
      </w:r>
      <w:hyperlink r:id="rId13" w:history="1">
        <w:r w:rsidRPr="006324E2">
          <w:rPr>
            <w:rStyle w:val="Hyperlink"/>
            <w:sz w:val="22"/>
            <w:szCs w:val="22"/>
          </w:rPr>
          <w:t>https://www.history.com/news/seat-belt-laws-resistance</w:t>
        </w:r>
      </w:hyperlink>
      <w:r w:rsidRPr="006324E2">
        <w:rPr>
          <w:sz w:val="22"/>
          <w:szCs w:val="22"/>
        </w:rPr>
        <w:t xml:space="preserve"> </w:t>
      </w:r>
    </w:p>
    <w:p w14:paraId="535CAC7F" w14:textId="039AE66E" w:rsidR="00A5766B" w:rsidRPr="00F276E7" w:rsidRDefault="00627072" w:rsidP="00F276E7">
      <w:pPr>
        <w:widowControl w:val="0"/>
        <w:snapToGrid w:val="0"/>
        <w:spacing w:line="480" w:lineRule="auto"/>
        <w:ind w:left="360" w:hanging="360"/>
        <w:rPr>
          <w:sz w:val="22"/>
          <w:szCs w:val="22"/>
        </w:rPr>
      </w:pPr>
      <w:r w:rsidRPr="00F276E7">
        <w:rPr>
          <w:sz w:val="22"/>
          <w:szCs w:val="22"/>
        </w:rPr>
        <w:t>Rupp, N</w:t>
      </w:r>
      <w:r w:rsidR="00916DB4" w:rsidRPr="00F276E7">
        <w:rPr>
          <w:sz w:val="22"/>
          <w:szCs w:val="22"/>
        </w:rPr>
        <w:t>.</w:t>
      </w:r>
      <w:r w:rsidRPr="00F276E7">
        <w:rPr>
          <w:sz w:val="22"/>
          <w:szCs w:val="22"/>
        </w:rPr>
        <w:t xml:space="preserve"> </w:t>
      </w:r>
      <w:r w:rsidR="00A5766B" w:rsidRPr="00F276E7">
        <w:rPr>
          <w:sz w:val="22"/>
          <w:szCs w:val="22"/>
        </w:rPr>
        <w:t xml:space="preserve">G. </w:t>
      </w:r>
      <w:r w:rsidRPr="00F276E7">
        <w:rPr>
          <w:sz w:val="22"/>
          <w:szCs w:val="22"/>
        </w:rPr>
        <w:t>2004</w:t>
      </w:r>
      <w:r w:rsidR="00916DB4" w:rsidRPr="00F276E7">
        <w:rPr>
          <w:sz w:val="22"/>
          <w:szCs w:val="22"/>
        </w:rPr>
        <w:t>.</w:t>
      </w:r>
      <w:r w:rsidR="00A5766B" w:rsidRPr="00F276E7">
        <w:rPr>
          <w:sz w:val="22"/>
          <w:szCs w:val="22"/>
        </w:rPr>
        <w:t xml:space="preserve"> The attributes of a costly recall: Eviden</w:t>
      </w:r>
      <w:r w:rsidRPr="00F276E7">
        <w:rPr>
          <w:sz w:val="22"/>
          <w:szCs w:val="22"/>
        </w:rPr>
        <w:t>ce from the automotive industry</w:t>
      </w:r>
      <w:r w:rsidR="00916DB4" w:rsidRPr="00F276E7">
        <w:rPr>
          <w:sz w:val="22"/>
          <w:szCs w:val="22"/>
        </w:rPr>
        <w:t>.</w:t>
      </w:r>
      <w:r w:rsidR="00A5766B" w:rsidRPr="00F276E7">
        <w:rPr>
          <w:sz w:val="22"/>
          <w:szCs w:val="22"/>
        </w:rPr>
        <w:t xml:space="preserve"> </w:t>
      </w:r>
      <w:r w:rsidR="00A5766B" w:rsidRPr="00F276E7">
        <w:rPr>
          <w:i/>
          <w:sz w:val="22"/>
          <w:szCs w:val="22"/>
        </w:rPr>
        <w:t>Review of Industrial Organization</w:t>
      </w:r>
      <w:r w:rsidR="00A5766B" w:rsidRPr="00F276E7">
        <w:rPr>
          <w:sz w:val="22"/>
          <w:szCs w:val="22"/>
        </w:rPr>
        <w:t>, 25</w:t>
      </w:r>
      <w:r w:rsidRPr="00F276E7">
        <w:rPr>
          <w:sz w:val="22"/>
          <w:szCs w:val="22"/>
        </w:rPr>
        <w:t>(1)</w:t>
      </w:r>
      <w:r w:rsidR="00916DB4" w:rsidRPr="00F276E7">
        <w:rPr>
          <w:sz w:val="22"/>
          <w:szCs w:val="22"/>
        </w:rPr>
        <w:t>:</w:t>
      </w:r>
      <w:r w:rsidR="00A5766B" w:rsidRPr="00F276E7">
        <w:rPr>
          <w:sz w:val="22"/>
          <w:szCs w:val="22"/>
        </w:rPr>
        <w:t xml:space="preserve"> 21-44.</w:t>
      </w:r>
    </w:p>
    <w:p w14:paraId="0248E15F" w14:textId="6DFE9C7A" w:rsidR="003E45DF" w:rsidRPr="00F276E7" w:rsidRDefault="003E45DF" w:rsidP="00F276E7">
      <w:pPr>
        <w:widowControl w:val="0"/>
        <w:snapToGrid w:val="0"/>
        <w:spacing w:line="480" w:lineRule="auto"/>
        <w:ind w:left="360" w:hanging="360"/>
        <w:rPr>
          <w:color w:val="222222"/>
          <w:sz w:val="22"/>
          <w:szCs w:val="22"/>
          <w:shd w:val="clear" w:color="auto" w:fill="FFFFFF"/>
        </w:rPr>
      </w:pPr>
      <w:r w:rsidRPr="00F276E7">
        <w:rPr>
          <w:color w:val="222222"/>
          <w:sz w:val="22"/>
          <w:szCs w:val="22"/>
          <w:shd w:val="clear" w:color="auto" w:fill="FFFFFF"/>
        </w:rPr>
        <w:t xml:space="preserve">Sandberg, J. 2021. “How do I carry all this now?”: understanding consumer resistance to sustainability interventions. </w:t>
      </w:r>
      <w:r w:rsidRPr="00F276E7">
        <w:rPr>
          <w:i/>
          <w:iCs/>
          <w:color w:val="222222"/>
          <w:sz w:val="22"/>
          <w:szCs w:val="22"/>
          <w:shd w:val="clear" w:color="auto" w:fill="FFFFFF"/>
        </w:rPr>
        <w:t>Journal of Marketing</w:t>
      </w:r>
      <w:r w:rsidRPr="00F276E7">
        <w:rPr>
          <w:color w:val="222222"/>
          <w:sz w:val="22"/>
          <w:szCs w:val="22"/>
          <w:shd w:val="clear" w:color="auto" w:fill="FFFFFF"/>
        </w:rPr>
        <w:t xml:space="preserve">, 85(3): 44–61.  </w:t>
      </w:r>
    </w:p>
    <w:p w14:paraId="3274D9D4" w14:textId="77D6B0C8" w:rsidR="009838BE" w:rsidRPr="00F276E7" w:rsidRDefault="009838BE" w:rsidP="00F276E7">
      <w:pPr>
        <w:widowControl w:val="0"/>
        <w:snapToGrid w:val="0"/>
        <w:spacing w:line="480" w:lineRule="auto"/>
        <w:ind w:left="360" w:hanging="360"/>
        <w:rPr>
          <w:color w:val="222222"/>
          <w:sz w:val="22"/>
          <w:szCs w:val="22"/>
          <w:shd w:val="clear" w:color="auto" w:fill="FFFFFF"/>
        </w:rPr>
      </w:pPr>
      <w:r w:rsidRPr="00F276E7">
        <w:rPr>
          <w:color w:val="222222"/>
          <w:sz w:val="22"/>
          <w:szCs w:val="22"/>
          <w:shd w:val="clear" w:color="auto" w:fill="FFFFFF"/>
        </w:rPr>
        <w:t>Shults, R. A., Elder, R. W., Sleet, D. A., Thompson, R. S., &amp; Nichols, J. L. 2004. Primary enforcement seat belt laws are effective even in the face of rising belt use rates. </w:t>
      </w:r>
      <w:r w:rsidRPr="00F276E7">
        <w:rPr>
          <w:i/>
          <w:iCs/>
          <w:color w:val="222222"/>
          <w:sz w:val="22"/>
          <w:szCs w:val="22"/>
          <w:shd w:val="clear" w:color="auto" w:fill="FFFFFF"/>
        </w:rPr>
        <w:t>Accident Analysis &amp; Prevention</w:t>
      </w:r>
      <w:r w:rsidRPr="00F276E7">
        <w:rPr>
          <w:color w:val="222222"/>
          <w:sz w:val="22"/>
          <w:szCs w:val="22"/>
          <w:shd w:val="clear" w:color="auto" w:fill="FFFFFF"/>
        </w:rPr>
        <w:t>, 36(3)</w:t>
      </w:r>
      <w:r w:rsidR="00916DB4" w:rsidRPr="00F276E7">
        <w:rPr>
          <w:color w:val="222222"/>
          <w:sz w:val="22"/>
          <w:szCs w:val="22"/>
          <w:shd w:val="clear" w:color="auto" w:fill="FFFFFF"/>
        </w:rPr>
        <w:t>:</w:t>
      </w:r>
      <w:r w:rsidRPr="00F276E7">
        <w:rPr>
          <w:color w:val="222222"/>
          <w:sz w:val="22"/>
          <w:szCs w:val="22"/>
          <w:shd w:val="clear" w:color="auto" w:fill="FFFFFF"/>
        </w:rPr>
        <w:t xml:space="preserve"> 491-493.</w:t>
      </w:r>
    </w:p>
    <w:p w14:paraId="294E4B8A" w14:textId="6FEA84DC" w:rsidR="007C57AA" w:rsidRPr="00F276E7" w:rsidRDefault="007C57AA" w:rsidP="00F276E7">
      <w:pPr>
        <w:widowControl w:val="0"/>
        <w:snapToGrid w:val="0"/>
        <w:spacing w:line="480" w:lineRule="auto"/>
        <w:ind w:left="360" w:hanging="360"/>
        <w:rPr>
          <w:sz w:val="22"/>
          <w:szCs w:val="22"/>
        </w:rPr>
      </w:pPr>
      <w:r w:rsidRPr="00F276E7">
        <w:rPr>
          <w:color w:val="222222"/>
          <w:sz w:val="22"/>
          <w:szCs w:val="22"/>
          <w:shd w:val="clear" w:color="auto" w:fill="FFFFFF"/>
        </w:rPr>
        <w:t xml:space="preserve">Simonin, B. 2004. An empirical investigation of the process of knowledge transfer in international strategic alliances. </w:t>
      </w:r>
      <w:r w:rsidRPr="00F276E7">
        <w:rPr>
          <w:i/>
          <w:iCs/>
          <w:color w:val="222222"/>
          <w:sz w:val="22"/>
          <w:szCs w:val="22"/>
          <w:shd w:val="clear" w:color="auto" w:fill="FFFFFF"/>
        </w:rPr>
        <w:t>Journal of international business studies</w:t>
      </w:r>
      <w:r w:rsidRPr="00F276E7">
        <w:rPr>
          <w:color w:val="222222"/>
          <w:sz w:val="22"/>
          <w:szCs w:val="22"/>
          <w:shd w:val="clear" w:color="auto" w:fill="FFFFFF"/>
        </w:rPr>
        <w:t xml:space="preserve">. 35, 407-427. </w:t>
      </w:r>
    </w:p>
    <w:p w14:paraId="7BAC5E30" w14:textId="46E07872" w:rsidR="007F3B31" w:rsidRPr="00F276E7" w:rsidRDefault="007F3B31" w:rsidP="00F276E7">
      <w:pPr>
        <w:widowControl w:val="0"/>
        <w:snapToGrid w:val="0"/>
        <w:spacing w:line="480" w:lineRule="auto"/>
        <w:ind w:left="360" w:hanging="360"/>
        <w:rPr>
          <w:sz w:val="22"/>
          <w:szCs w:val="22"/>
        </w:rPr>
      </w:pPr>
      <w:proofErr w:type="spellStart"/>
      <w:r w:rsidRPr="00F276E7">
        <w:rPr>
          <w:sz w:val="22"/>
          <w:szCs w:val="22"/>
        </w:rPr>
        <w:t>Siomkos</w:t>
      </w:r>
      <w:proofErr w:type="spellEnd"/>
      <w:r w:rsidRPr="00F276E7">
        <w:rPr>
          <w:sz w:val="22"/>
          <w:szCs w:val="22"/>
        </w:rPr>
        <w:t>, G</w:t>
      </w:r>
      <w:r w:rsidR="006E1E22" w:rsidRPr="00F276E7">
        <w:rPr>
          <w:sz w:val="22"/>
          <w:szCs w:val="22"/>
        </w:rPr>
        <w:t>.</w:t>
      </w:r>
      <w:r w:rsidRPr="00F276E7">
        <w:rPr>
          <w:sz w:val="22"/>
          <w:szCs w:val="22"/>
        </w:rPr>
        <w:t xml:space="preserve"> J. </w:t>
      </w:r>
      <w:r w:rsidR="006E1E22" w:rsidRPr="00F276E7">
        <w:rPr>
          <w:sz w:val="22"/>
          <w:szCs w:val="22"/>
        </w:rPr>
        <w:t>&amp;</w:t>
      </w:r>
      <w:r w:rsidRPr="00F276E7">
        <w:rPr>
          <w:sz w:val="22"/>
          <w:szCs w:val="22"/>
        </w:rPr>
        <w:t xml:space="preserve"> Kurzbard</w:t>
      </w:r>
      <w:r w:rsidR="006E1E22" w:rsidRPr="00F276E7">
        <w:rPr>
          <w:sz w:val="22"/>
          <w:szCs w:val="22"/>
        </w:rPr>
        <w:t>, G.</w:t>
      </w:r>
      <w:r w:rsidRPr="00F276E7">
        <w:rPr>
          <w:sz w:val="22"/>
          <w:szCs w:val="22"/>
        </w:rPr>
        <w:t xml:space="preserve"> 1994</w:t>
      </w:r>
      <w:r w:rsidR="006E1E22" w:rsidRPr="00F276E7">
        <w:rPr>
          <w:sz w:val="22"/>
          <w:szCs w:val="22"/>
        </w:rPr>
        <w:t>.</w:t>
      </w:r>
      <w:r w:rsidRPr="00F276E7">
        <w:rPr>
          <w:sz w:val="22"/>
          <w:szCs w:val="22"/>
        </w:rPr>
        <w:t xml:space="preserve"> The hidden crisis in product-harm crisis management</w:t>
      </w:r>
      <w:r w:rsidR="006E1E22" w:rsidRPr="00F276E7">
        <w:rPr>
          <w:sz w:val="22"/>
          <w:szCs w:val="22"/>
        </w:rPr>
        <w:t>.</w:t>
      </w:r>
      <w:r w:rsidRPr="00F276E7">
        <w:rPr>
          <w:sz w:val="22"/>
          <w:szCs w:val="22"/>
        </w:rPr>
        <w:t xml:space="preserve"> </w:t>
      </w:r>
      <w:r w:rsidRPr="00F276E7">
        <w:rPr>
          <w:i/>
          <w:sz w:val="22"/>
          <w:szCs w:val="22"/>
        </w:rPr>
        <w:t>European journal of marketing</w:t>
      </w:r>
      <w:r w:rsidRPr="00F276E7">
        <w:rPr>
          <w:sz w:val="22"/>
          <w:szCs w:val="22"/>
        </w:rPr>
        <w:t>, 28(2)</w:t>
      </w:r>
      <w:r w:rsidR="006E1E22" w:rsidRPr="00F276E7">
        <w:rPr>
          <w:sz w:val="22"/>
          <w:szCs w:val="22"/>
        </w:rPr>
        <w:t>:</w:t>
      </w:r>
      <w:r w:rsidRPr="00F276E7">
        <w:rPr>
          <w:sz w:val="22"/>
          <w:szCs w:val="22"/>
        </w:rPr>
        <w:t xml:space="preserve"> 30-41. </w:t>
      </w:r>
    </w:p>
    <w:p w14:paraId="753EDBD2" w14:textId="6C252105" w:rsidR="001C177B" w:rsidRPr="00F276E7" w:rsidRDefault="001C177B" w:rsidP="00F276E7">
      <w:pPr>
        <w:widowControl w:val="0"/>
        <w:snapToGrid w:val="0"/>
        <w:spacing w:line="480" w:lineRule="auto"/>
        <w:ind w:left="360" w:hanging="360"/>
        <w:rPr>
          <w:sz w:val="22"/>
          <w:szCs w:val="22"/>
        </w:rPr>
      </w:pPr>
      <w:r w:rsidRPr="00F276E7">
        <w:rPr>
          <w:sz w:val="22"/>
          <w:szCs w:val="22"/>
        </w:rPr>
        <w:t xml:space="preserve">Smirnova, M. M., </w:t>
      </w:r>
      <w:proofErr w:type="spellStart"/>
      <w:r w:rsidRPr="00F276E7">
        <w:rPr>
          <w:sz w:val="22"/>
          <w:szCs w:val="22"/>
        </w:rPr>
        <w:t>Rebiazina</w:t>
      </w:r>
      <w:proofErr w:type="spellEnd"/>
      <w:r w:rsidRPr="00F276E7">
        <w:rPr>
          <w:sz w:val="22"/>
          <w:szCs w:val="22"/>
        </w:rPr>
        <w:t xml:space="preserve">, V. A., &amp; </w:t>
      </w:r>
      <w:proofErr w:type="spellStart"/>
      <w:r w:rsidRPr="00F276E7">
        <w:rPr>
          <w:sz w:val="22"/>
          <w:szCs w:val="22"/>
        </w:rPr>
        <w:t>Frosen</w:t>
      </w:r>
      <w:proofErr w:type="spellEnd"/>
      <w:r w:rsidRPr="00F276E7">
        <w:rPr>
          <w:sz w:val="22"/>
          <w:szCs w:val="22"/>
        </w:rPr>
        <w:t xml:space="preserve">, J. 2018. Customer orientation as a multidimensional construct: Evidence from the Russian markets. </w:t>
      </w:r>
      <w:r w:rsidRPr="00F276E7">
        <w:rPr>
          <w:i/>
          <w:iCs/>
          <w:sz w:val="22"/>
          <w:szCs w:val="22"/>
        </w:rPr>
        <w:t>Journal of Business Research</w:t>
      </w:r>
      <w:r w:rsidRPr="00F276E7">
        <w:rPr>
          <w:sz w:val="22"/>
          <w:szCs w:val="22"/>
        </w:rPr>
        <w:t xml:space="preserve">, 86(May), 457-467. </w:t>
      </w:r>
    </w:p>
    <w:p w14:paraId="7AEC3D12" w14:textId="1DB15887" w:rsidR="00F53EC0" w:rsidRPr="00F276E7" w:rsidRDefault="00F53EC0" w:rsidP="00F276E7">
      <w:pPr>
        <w:widowControl w:val="0"/>
        <w:snapToGrid w:val="0"/>
        <w:spacing w:line="480" w:lineRule="auto"/>
        <w:ind w:left="360" w:hanging="360"/>
        <w:rPr>
          <w:sz w:val="22"/>
          <w:szCs w:val="22"/>
        </w:rPr>
      </w:pPr>
      <w:r w:rsidRPr="00F276E7">
        <w:rPr>
          <w:sz w:val="22"/>
          <w:szCs w:val="22"/>
        </w:rPr>
        <w:t>Sperling, D</w:t>
      </w:r>
      <w:r w:rsidR="006E1E22" w:rsidRPr="00F276E7">
        <w:rPr>
          <w:sz w:val="22"/>
          <w:szCs w:val="22"/>
        </w:rPr>
        <w:t>.</w:t>
      </w:r>
      <w:r w:rsidRPr="00F276E7">
        <w:rPr>
          <w:sz w:val="22"/>
          <w:szCs w:val="22"/>
        </w:rPr>
        <w:t>, Bunch,</w:t>
      </w:r>
      <w:r w:rsidR="006E1E22" w:rsidRPr="00F276E7">
        <w:rPr>
          <w:sz w:val="22"/>
          <w:szCs w:val="22"/>
        </w:rPr>
        <w:t xml:space="preserve"> D., </w:t>
      </w:r>
      <w:r w:rsidRPr="00F276E7">
        <w:rPr>
          <w:sz w:val="22"/>
          <w:szCs w:val="22"/>
        </w:rPr>
        <w:t xml:space="preserve">Burke, </w:t>
      </w:r>
      <w:r w:rsidR="006E1E22" w:rsidRPr="00F276E7">
        <w:rPr>
          <w:sz w:val="22"/>
          <w:szCs w:val="22"/>
        </w:rPr>
        <w:t xml:space="preserve">A., </w:t>
      </w:r>
      <w:r w:rsidRPr="00F276E7">
        <w:rPr>
          <w:sz w:val="22"/>
          <w:szCs w:val="22"/>
        </w:rPr>
        <w:t>Abeles,</w:t>
      </w:r>
      <w:r w:rsidR="006E1E22" w:rsidRPr="00F276E7">
        <w:rPr>
          <w:sz w:val="22"/>
          <w:szCs w:val="22"/>
        </w:rPr>
        <w:t xml:space="preserve"> E.,</w:t>
      </w:r>
      <w:r w:rsidRPr="00F276E7">
        <w:rPr>
          <w:sz w:val="22"/>
          <w:szCs w:val="22"/>
        </w:rPr>
        <w:t xml:space="preserve"> Chen, </w:t>
      </w:r>
      <w:r w:rsidR="006E1E22" w:rsidRPr="00F276E7">
        <w:rPr>
          <w:sz w:val="22"/>
          <w:szCs w:val="22"/>
        </w:rPr>
        <w:t xml:space="preserve">B., </w:t>
      </w:r>
      <w:r w:rsidRPr="00F276E7">
        <w:rPr>
          <w:sz w:val="22"/>
          <w:szCs w:val="22"/>
        </w:rPr>
        <w:t>Kurani,</w:t>
      </w:r>
      <w:r w:rsidR="006E1E22" w:rsidRPr="00F276E7">
        <w:rPr>
          <w:sz w:val="22"/>
          <w:szCs w:val="22"/>
        </w:rPr>
        <w:t xml:space="preserve"> K., &amp; </w:t>
      </w:r>
      <w:r w:rsidRPr="00F276E7">
        <w:rPr>
          <w:sz w:val="22"/>
          <w:szCs w:val="22"/>
        </w:rPr>
        <w:t>Turrentine</w:t>
      </w:r>
      <w:r w:rsidR="006E1E22" w:rsidRPr="00F276E7">
        <w:rPr>
          <w:sz w:val="22"/>
          <w:szCs w:val="22"/>
        </w:rPr>
        <w:t>, T.</w:t>
      </w:r>
      <w:r w:rsidRPr="00F276E7">
        <w:rPr>
          <w:sz w:val="22"/>
          <w:szCs w:val="22"/>
        </w:rPr>
        <w:t xml:space="preserve"> 2004</w:t>
      </w:r>
      <w:r w:rsidR="006E1E22" w:rsidRPr="00F276E7">
        <w:rPr>
          <w:sz w:val="22"/>
          <w:szCs w:val="22"/>
        </w:rPr>
        <w:t>.</w:t>
      </w:r>
      <w:r w:rsidRPr="00F276E7">
        <w:rPr>
          <w:sz w:val="22"/>
          <w:szCs w:val="22"/>
        </w:rPr>
        <w:t xml:space="preserve"> Analysis of Auto Industry and Consumer Response to Regulations and Technological Change, and Customization of Consumer Response Models in Support of AB 1493 Rulemaking</w:t>
      </w:r>
      <w:r w:rsidR="006E1E22" w:rsidRPr="00F276E7">
        <w:rPr>
          <w:sz w:val="22"/>
          <w:szCs w:val="22"/>
        </w:rPr>
        <w:t>.</w:t>
      </w:r>
      <w:r w:rsidRPr="00F276E7">
        <w:rPr>
          <w:sz w:val="22"/>
          <w:szCs w:val="22"/>
        </w:rPr>
        <w:t xml:space="preserve"> Prepared for the California Air Resources Board and the California Environmental Protection Agency, Prepared By: Institute of Transportation Studies, University of California, Davis. </w:t>
      </w:r>
    </w:p>
    <w:p w14:paraId="45FAF658" w14:textId="3F50D19C" w:rsidR="00EC29BB" w:rsidRPr="00F276E7" w:rsidRDefault="00EC29BB" w:rsidP="00F276E7">
      <w:pPr>
        <w:widowControl w:val="0"/>
        <w:snapToGrid w:val="0"/>
        <w:spacing w:line="480" w:lineRule="auto"/>
        <w:ind w:left="360" w:hanging="360"/>
        <w:rPr>
          <w:color w:val="222222"/>
          <w:sz w:val="22"/>
          <w:szCs w:val="22"/>
          <w:shd w:val="clear" w:color="auto" w:fill="FFFFFF"/>
        </w:rPr>
      </w:pPr>
      <w:r w:rsidRPr="00F276E7">
        <w:rPr>
          <w:color w:val="222222"/>
          <w:sz w:val="22"/>
          <w:szCs w:val="22"/>
          <w:shd w:val="clear" w:color="auto" w:fill="FFFFFF"/>
        </w:rPr>
        <w:t>Thomas, J. S. (2001). A methodology for linking customer acquisition to customer retention. </w:t>
      </w:r>
      <w:r w:rsidRPr="00F276E7">
        <w:rPr>
          <w:i/>
          <w:iCs/>
          <w:color w:val="222222"/>
          <w:sz w:val="22"/>
          <w:szCs w:val="22"/>
          <w:shd w:val="clear" w:color="auto" w:fill="FFFFFF"/>
        </w:rPr>
        <w:t xml:space="preserve">Journal of </w:t>
      </w:r>
      <w:r w:rsidRPr="00F276E7">
        <w:rPr>
          <w:i/>
          <w:iCs/>
          <w:color w:val="222222"/>
          <w:sz w:val="22"/>
          <w:szCs w:val="22"/>
          <w:shd w:val="clear" w:color="auto" w:fill="FFFFFF"/>
        </w:rPr>
        <w:lastRenderedPageBreak/>
        <w:t>marketing research</w:t>
      </w:r>
      <w:r w:rsidRPr="00F276E7">
        <w:rPr>
          <w:color w:val="222222"/>
          <w:sz w:val="22"/>
          <w:szCs w:val="22"/>
          <w:shd w:val="clear" w:color="auto" w:fill="FFFFFF"/>
        </w:rPr>
        <w:t>, 38(2)</w:t>
      </w:r>
      <w:r w:rsidR="006E1E22" w:rsidRPr="00F276E7">
        <w:rPr>
          <w:color w:val="222222"/>
          <w:sz w:val="22"/>
          <w:szCs w:val="22"/>
          <w:shd w:val="clear" w:color="auto" w:fill="FFFFFF"/>
        </w:rPr>
        <w:t>:</w:t>
      </w:r>
      <w:r w:rsidRPr="00F276E7">
        <w:rPr>
          <w:color w:val="222222"/>
          <w:sz w:val="22"/>
          <w:szCs w:val="22"/>
          <w:shd w:val="clear" w:color="auto" w:fill="FFFFFF"/>
        </w:rPr>
        <w:t xml:space="preserve"> 262-268.</w:t>
      </w:r>
    </w:p>
    <w:p w14:paraId="39B086E3" w14:textId="27A0DE86" w:rsidR="009210C2" w:rsidRPr="00F276E7" w:rsidRDefault="009210C2" w:rsidP="00F276E7">
      <w:pPr>
        <w:widowControl w:val="0"/>
        <w:autoSpaceDE w:val="0"/>
        <w:autoSpaceDN w:val="0"/>
        <w:adjustRightInd w:val="0"/>
        <w:snapToGrid w:val="0"/>
        <w:spacing w:line="480" w:lineRule="auto"/>
        <w:ind w:left="360" w:hanging="360"/>
        <w:rPr>
          <w:sz w:val="22"/>
          <w:szCs w:val="22"/>
        </w:rPr>
      </w:pPr>
      <w:r w:rsidRPr="00F276E7">
        <w:rPr>
          <w:sz w:val="22"/>
          <w:szCs w:val="22"/>
        </w:rPr>
        <w:t xml:space="preserve">Van Assche, A. 2018. From the Editor: Steering a policy turn in international business – opportunities and challenges. </w:t>
      </w:r>
      <w:r w:rsidRPr="00F276E7">
        <w:rPr>
          <w:i/>
          <w:iCs/>
          <w:sz w:val="22"/>
          <w:szCs w:val="22"/>
        </w:rPr>
        <w:t>Journal of International Business Policy</w:t>
      </w:r>
      <w:r w:rsidRPr="00F276E7">
        <w:rPr>
          <w:sz w:val="22"/>
          <w:szCs w:val="22"/>
        </w:rPr>
        <w:t>, 1</w:t>
      </w:r>
      <w:r w:rsidR="006E1E22" w:rsidRPr="00F276E7">
        <w:rPr>
          <w:sz w:val="22"/>
          <w:szCs w:val="22"/>
        </w:rPr>
        <w:t>:</w:t>
      </w:r>
      <w:r w:rsidRPr="00F276E7">
        <w:rPr>
          <w:sz w:val="22"/>
          <w:szCs w:val="22"/>
        </w:rPr>
        <w:t xml:space="preserve"> 117 – 127. </w:t>
      </w:r>
    </w:p>
    <w:p w14:paraId="06CB1A8F" w14:textId="05DAB99C" w:rsidR="00EC5FA1" w:rsidRPr="00F276E7" w:rsidRDefault="00EC5FA1" w:rsidP="00F276E7">
      <w:pPr>
        <w:widowControl w:val="0"/>
        <w:autoSpaceDE w:val="0"/>
        <w:autoSpaceDN w:val="0"/>
        <w:adjustRightInd w:val="0"/>
        <w:snapToGrid w:val="0"/>
        <w:spacing w:line="480" w:lineRule="auto"/>
        <w:ind w:left="360" w:hanging="360"/>
        <w:rPr>
          <w:sz w:val="22"/>
          <w:szCs w:val="22"/>
        </w:rPr>
      </w:pPr>
      <w:r w:rsidRPr="00F276E7">
        <w:rPr>
          <w:sz w:val="22"/>
          <w:szCs w:val="22"/>
        </w:rPr>
        <w:t xml:space="preserve">Van </w:t>
      </w:r>
      <w:proofErr w:type="spellStart"/>
      <w:r w:rsidRPr="00F276E7">
        <w:rPr>
          <w:sz w:val="22"/>
          <w:szCs w:val="22"/>
        </w:rPr>
        <w:t>Heerde</w:t>
      </w:r>
      <w:proofErr w:type="spellEnd"/>
      <w:r w:rsidRPr="00F276E7">
        <w:rPr>
          <w:sz w:val="22"/>
          <w:szCs w:val="22"/>
        </w:rPr>
        <w:t>, H</w:t>
      </w:r>
      <w:r w:rsidR="006E1E22" w:rsidRPr="00F276E7">
        <w:rPr>
          <w:sz w:val="22"/>
          <w:szCs w:val="22"/>
        </w:rPr>
        <w:t>.</w:t>
      </w:r>
      <w:r w:rsidRPr="00F276E7">
        <w:rPr>
          <w:sz w:val="22"/>
          <w:szCs w:val="22"/>
        </w:rPr>
        <w:t>, Helsen,</w:t>
      </w:r>
      <w:r w:rsidR="006E1E22" w:rsidRPr="00F276E7">
        <w:rPr>
          <w:sz w:val="22"/>
          <w:szCs w:val="22"/>
        </w:rPr>
        <w:t xml:space="preserve"> K.,</w:t>
      </w:r>
      <w:r w:rsidRPr="00F276E7">
        <w:rPr>
          <w:sz w:val="22"/>
          <w:szCs w:val="22"/>
        </w:rPr>
        <w:t xml:space="preserve"> </w:t>
      </w:r>
      <w:r w:rsidR="006E1E22" w:rsidRPr="00F276E7">
        <w:rPr>
          <w:sz w:val="22"/>
          <w:szCs w:val="22"/>
        </w:rPr>
        <w:t>&amp;</w:t>
      </w:r>
      <w:r w:rsidRPr="00F276E7">
        <w:rPr>
          <w:sz w:val="22"/>
          <w:szCs w:val="22"/>
        </w:rPr>
        <w:t xml:space="preserve"> </w:t>
      </w:r>
      <w:proofErr w:type="spellStart"/>
      <w:r w:rsidRPr="00F276E7">
        <w:rPr>
          <w:sz w:val="22"/>
          <w:szCs w:val="22"/>
        </w:rPr>
        <w:t>Dekimpe</w:t>
      </w:r>
      <w:proofErr w:type="spellEnd"/>
      <w:r w:rsidR="006E1E22" w:rsidRPr="00F276E7">
        <w:rPr>
          <w:sz w:val="22"/>
          <w:szCs w:val="22"/>
        </w:rPr>
        <w:t>, M. G.</w:t>
      </w:r>
      <w:r w:rsidRPr="00F276E7">
        <w:rPr>
          <w:sz w:val="22"/>
          <w:szCs w:val="22"/>
        </w:rPr>
        <w:t xml:space="preserve"> 2007</w:t>
      </w:r>
      <w:r w:rsidR="006E1E22" w:rsidRPr="00F276E7">
        <w:rPr>
          <w:sz w:val="22"/>
          <w:szCs w:val="22"/>
        </w:rPr>
        <w:t>.</w:t>
      </w:r>
      <w:r w:rsidRPr="00F276E7">
        <w:rPr>
          <w:sz w:val="22"/>
          <w:szCs w:val="22"/>
        </w:rPr>
        <w:t xml:space="preserve"> The impact of a product-harm crisis on marketing effectiveness</w:t>
      </w:r>
      <w:r w:rsidR="006E1E22" w:rsidRPr="00F276E7">
        <w:rPr>
          <w:sz w:val="22"/>
          <w:szCs w:val="22"/>
        </w:rPr>
        <w:t>.</w:t>
      </w:r>
      <w:r w:rsidRPr="00F276E7">
        <w:rPr>
          <w:sz w:val="22"/>
          <w:szCs w:val="22"/>
        </w:rPr>
        <w:t xml:space="preserve"> </w:t>
      </w:r>
      <w:r w:rsidRPr="00F276E7">
        <w:rPr>
          <w:i/>
          <w:sz w:val="22"/>
          <w:szCs w:val="22"/>
        </w:rPr>
        <w:t>Marketing Science</w:t>
      </w:r>
      <w:r w:rsidRPr="00F276E7">
        <w:rPr>
          <w:sz w:val="22"/>
          <w:szCs w:val="22"/>
        </w:rPr>
        <w:t>, 26(2)</w:t>
      </w:r>
      <w:r w:rsidR="006E1E22" w:rsidRPr="00F276E7">
        <w:rPr>
          <w:sz w:val="22"/>
          <w:szCs w:val="22"/>
        </w:rPr>
        <w:t>:</w:t>
      </w:r>
      <w:r w:rsidRPr="00F276E7">
        <w:rPr>
          <w:sz w:val="22"/>
          <w:szCs w:val="22"/>
        </w:rPr>
        <w:t xml:space="preserve"> 230-45.</w:t>
      </w:r>
    </w:p>
    <w:p w14:paraId="7327BFA2" w14:textId="3B039E24" w:rsidR="00346F1D" w:rsidRPr="00F276E7" w:rsidRDefault="00346F1D" w:rsidP="00F276E7">
      <w:pPr>
        <w:widowControl w:val="0"/>
        <w:autoSpaceDE w:val="0"/>
        <w:autoSpaceDN w:val="0"/>
        <w:adjustRightInd w:val="0"/>
        <w:snapToGrid w:val="0"/>
        <w:spacing w:line="480" w:lineRule="auto"/>
        <w:ind w:left="360" w:hanging="360"/>
        <w:rPr>
          <w:sz w:val="22"/>
          <w:szCs w:val="22"/>
        </w:rPr>
      </w:pPr>
      <w:proofErr w:type="spellStart"/>
      <w:r w:rsidRPr="00F276E7">
        <w:rPr>
          <w:sz w:val="22"/>
          <w:szCs w:val="22"/>
        </w:rPr>
        <w:t>Voas</w:t>
      </w:r>
      <w:proofErr w:type="spellEnd"/>
      <w:r w:rsidRPr="00F276E7">
        <w:rPr>
          <w:sz w:val="22"/>
          <w:szCs w:val="22"/>
        </w:rPr>
        <w:t>, R</w:t>
      </w:r>
      <w:r w:rsidR="006E1E22" w:rsidRPr="00F276E7">
        <w:rPr>
          <w:sz w:val="22"/>
          <w:szCs w:val="22"/>
        </w:rPr>
        <w:t xml:space="preserve">. </w:t>
      </w:r>
      <w:r w:rsidRPr="00F276E7">
        <w:rPr>
          <w:sz w:val="22"/>
          <w:szCs w:val="22"/>
        </w:rPr>
        <w:t>B., Tippetts,</w:t>
      </w:r>
      <w:r w:rsidR="006E1E22" w:rsidRPr="00F276E7">
        <w:rPr>
          <w:sz w:val="22"/>
          <w:szCs w:val="22"/>
        </w:rPr>
        <w:t xml:space="preserve"> A. S.,</w:t>
      </w:r>
      <w:r w:rsidRPr="00F276E7">
        <w:rPr>
          <w:sz w:val="22"/>
          <w:szCs w:val="22"/>
        </w:rPr>
        <w:t xml:space="preserve"> </w:t>
      </w:r>
      <w:r w:rsidR="006E1E22" w:rsidRPr="00F276E7">
        <w:rPr>
          <w:sz w:val="22"/>
          <w:szCs w:val="22"/>
        </w:rPr>
        <w:t>&amp;</w:t>
      </w:r>
      <w:r w:rsidRPr="00F276E7">
        <w:rPr>
          <w:sz w:val="22"/>
          <w:szCs w:val="22"/>
        </w:rPr>
        <w:t xml:space="preserve"> Fell</w:t>
      </w:r>
      <w:r w:rsidR="006E1E22" w:rsidRPr="00F276E7">
        <w:rPr>
          <w:sz w:val="22"/>
          <w:szCs w:val="22"/>
        </w:rPr>
        <w:t>, J. C.</w:t>
      </w:r>
      <w:r w:rsidRPr="00F276E7">
        <w:rPr>
          <w:sz w:val="22"/>
          <w:szCs w:val="22"/>
        </w:rPr>
        <w:t xml:space="preserve"> 2003</w:t>
      </w:r>
      <w:r w:rsidR="006E1E22" w:rsidRPr="00F276E7">
        <w:rPr>
          <w:sz w:val="22"/>
          <w:szCs w:val="22"/>
        </w:rPr>
        <w:t>.</w:t>
      </w:r>
      <w:r w:rsidRPr="00F276E7">
        <w:rPr>
          <w:sz w:val="22"/>
          <w:szCs w:val="22"/>
        </w:rPr>
        <w:t xml:space="preserve"> Assessing the effectiveness of minimum legal drinking age and zero tolerance laws in the </w:t>
      </w:r>
      <w:r w:rsidR="000A1B0A" w:rsidRPr="00F276E7">
        <w:rPr>
          <w:sz w:val="22"/>
          <w:szCs w:val="22"/>
        </w:rPr>
        <w:t>U.S</w:t>
      </w:r>
      <w:r w:rsidR="006E1E22" w:rsidRPr="00F276E7">
        <w:rPr>
          <w:sz w:val="22"/>
          <w:szCs w:val="22"/>
        </w:rPr>
        <w:t>.</w:t>
      </w:r>
      <w:r w:rsidRPr="00F276E7">
        <w:rPr>
          <w:sz w:val="22"/>
          <w:szCs w:val="22"/>
        </w:rPr>
        <w:t xml:space="preserve"> </w:t>
      </w:r>
      <w:r w:rsidRPr="00F276E7">
        <w:rPr>
          <w:i/>
          <w:sz w:val="22"/>
          <w:szCs w:val="22"/>
        </w:rPr>
        <w:t>Accident Analysis &amp; Prevention</w:t>
      </w:r>
      <w:r w:rsidRPr="00F276E7">
        <w:rPr>
          <w:sz w:val="22"/>
          <w:szCs w:val="22"/>
        </w:rPr>
        <w:t>, 35(4)</w:t>
      </w:r>
      <w:r w:rsidR="006E1E22" w:rsidRPr="00F276E7">
        <w:rPr>
          <w:sz w:val="22"/>
          <w:szCs w:val="22"/>
        </w:rPr>
        <w:t>:</w:t>
      </w:r>
      <w:r w:rsidRPr="00F276E7">
        <w:rPr>
          <w:sz w:val="22"/>
          <w:szCs w:val="22"/>
        </w:rPr>
        <w:t xml:space="preserve"> 579-87.</w:t>
      </w:r>
    </w:p>
    <w:p w14:paraId="2408C0B1" w14:textId="77777777" w:rsidR="00A16575" w:rsidRPr="00F276E7" w:rsidRDefault="00407B25" w:rsidP="00F276E7">
      <w:pPr>
        <w:widowControl w:val="0"/>
        <w:snapToGrid w:val="0"/>
        <w:spacing w:line="480" w:lineRule="auto"/>
        <w:ind w:left="360" w:hanging="360"/>
        <w:rPr>
          <w:sz w:val="22"/>
          <w:szCs w:val="22"/>
        </w:rPr>
      </w:pPr>
      <w:r w:rsidRPr="00F276E7">
        <w:rPr>
          <w:sz w:val="22"/>
          <w:szCs w:val="22"/>
        </w:rPr>
        <w:t>Wheatley, J</w:t>
      </w:r>
      <w:r w:rsidR="006E1E22" w:rsidRPr="00F276E7">
        <w:rPr>
          <w:sz w:val="22"/>
          <w:szCs w:val="22"/>
        </w:rPr>
        <w:t>.</w:t>
      </w:r>
      <w:r w:rsidRPr="00F276E7">
        <w:rPr>
          <w:sz w:val="22"/>
          <w:szCs w:val="22"/>
        </w:rPr>
        <w:t xml:space="preserve"> </w:t>
      </w:r>
      <w:r w:rsidR="00C8265B" w:rsidRPr="00F276E7">
        <w:rPr>
          <w:sz w:val="22"/>
          <w:szCs w:val="22"/>
        </w:rPr>
        <w:t>J.</w:t>
      </w:r>
      <w:r w:rsidR="006E1E22" w:rsidRPr="00F276E7">
        <w:rPr>
          <w:sz w:val="22"/>
          <w:szCs w:val="22"/>
        </w:rPr>
        <w:t>,</w:t>
      </w:r>
      <w:r w:rsidR="00C8265B" w:rsidRPr="00F276E7">
        <w:rPr>
          <w:sz w:val="22"/>
          <w:szCs w:val="22"/>
        </w:rPr>
        <w:t xml:space="preserve"> </w:t>
      </w:r>
      <w:r w:rsidR="006E1E22" w:rsidRPr="00F276E7">
        <w:rPr>
          <w:sz w:val="22"/>
          <w:szCs w:val="22"/>
        </w:rPr>
        <w:t>&amp;</w:t>
      </w:r>
      <w:r w:rsidR="00C8265B" w:rsidRPr="00F276E7">
        <w:rPr>
          <w:sz w:val="22"/>
          <w:szCs w:val="22"/>
        </w:rPr>
        <w:t xml:space="preserve"> </w:t>
      </w:r>
      <w:r w:rsidRPr="00F276E7">
        <w:rPr>
          <w:sz w:val="22"/>
          <w:szCs w:val="22"/>
        </w:rPr>
        <w:t>Chiu</w:t>
      </w:r>
      <w:r w:rsidR="006E1E22" w:rsidRPr="00F276E7">
        <w:rPr>
          <w:sz w:val="22"/>
          <w:szCs w:val="22"/>
        </w:rPr>
        <w:t xml:space="preserve"> J. SY.</w:t>
      </w:r>
      <w:r w:rsidR="00C8265B" w:rsidRPr="00F276E7">
        <w:rPr>
          <w:sz w:val="22"/>
          <w:szCs w:val="22"/>
        </w:rPr>
        <w:t xml:space="preserve"> </w:t>
      </w:r>
      <w:r w:rsidRPr="00F276E7">
        <w:rPr>
          <w:sz w:val="22"/>
          <w:szCs w:val="22"/>
        </w:rPr>
        <w:t>1977</w:t>
      </w:r>
      <w:r w:rsidR="006E1E22" w:rsidRPr="00F276E7">
        <w:rPr>
          <w:sz w:val="22"/>
          <w:szCs w:val="22"/>
        </w:rPr>
        <w:t>.</w:t>
      </w:r>
      <w:r w:rsidR="00C8265B" w:rsidRPr="00F276E7">
        <w:rPr>
          <w:sz w:val="22"/>
          <w:szCs w:val="22"/>
        </w:rPr>
        <w:t xml:space="preserve"> The Effects of Price, Store Image, and Product and Respondent Characteri</w:t>
      </w:r>
      <w:r w:rsidRPr="00F276E7">
        <w:rPr>
          <w:sz w:val="22"/>
          <w:szCs w:val="22"/>
        </w:rPr>
        <w:t>stics on Perceptions of Quality</w:t>
      </w:r>
      <w:r w:rsidR="006E1E22" w:rsidRPr="00F276E7">
        <w:rPr>
          <w:sz w:val="22"/>
          <w:szCs w:val="22"/>
        </w:rPr>
        <w:t>.</w:t>
      </w:r>
      <w:r w:rsidR="00C8265B" w:rsidRPr="00F276E7">
        <w:rPr>
          <w:sz w:val="22"/>
          <w:szCs w:val="22"/>
        </w:rPr>
        <w:t xml:space="preserve"> </w:t>
      </w:r>
      <w:r w:rsidR="005A277D" w:rsidRPr="00F276E7">
        <w:rPr>
          <w:i/>
          <w:sz w:val="22"/>
          <w:szCs w:val="22"/>
        </w:rPr>
        <w:t>Journal of Marketing Research</w:t>
      </w:r>
      <w:r w:rsidR="00C8265B" w:rsidRPr="00F276E7">
        <w:rPr>
          <w:sz w:val="22"/>
          <w:szCs w:val="22"/>
        </w:rPr>
        <w:t>, 14 (May)</w:t>
      </w:r>
      <w:r w:rsidR="00D330B3" w:rsidRPr="00F276E7">
        <w:rPr>
          <w:sz w:val="22"/>
          <w:szCs w:val="22"/>
        </w:rPr>
        <w:t>:</w:t>
      </w:r>
      <w:r w:rsidR="00C8265B" w:rsidRPr="00F276E7">
        <w:rPr>
          <w:sz w:val="22"/>
          <w:szCs w:val="22"/>
        </w:rPr>
        <w:t xml:space="preserve"> 181-86.</w:t>
      </w:r>
    </w:p>
    <w:p w14:paraId="2B04FD57" w14:textId="7A90E75C" w:rsidR="00A16575" w:rsidRPr="00F276E7" w:rsidRDefault="00A16575" w:rsidP="00F276E7">
      <w:pPr>
        <w:widowControl w:val="0"/>
        <w:snapToGrid w:val="0"/>
        <w:spacing w:line="480" w:lineRule="auto"/>
        <w:ind w:left="360" w:hanging="360"/>
        <w:rPr>
          <w:sz w:val="22"/>
          <w:szCs w:val="22"/>
        </w:rPr>
      </w:pPr>
      <w:proofErr w:type="spellStart"/>
      <w:r w:rsidRPr="00F276E7">
        <w:rPr>
          <w:sz w:val="22"/>
          <w:szCs w:val="22"/>
        </w:rPr>
        <w:t>Wowak</w:t>
      </w:r>
      <w:proofErr w:type="spellEnd"/>
      <w:r w:rsidRPr="00F276E7">
        <w:rPr>
          <w:sz w:val="22"/>
          <w:szCs w:val="22"/>
        </w:rPr>
        <w:t xml:space="preserve">, K. D., &amp; Boone, C. A. (2015). So many recalls, so little research: A review of the literature and road map for future research. </w:t>
      </w:r>
      <w:r w:rsidRPr="00F276E7">
        <w:rPr>
          <w:i/>
          <w:iCs/>
          <w:sz w:val="22"/>
          <w:szCs w:val="22"/>
        </w:rPr>
        <w:t>Journal of Supply Chain Management</w:t>
      </w:r>
      <w:r w:rsidRPr="00F276E7">
        <w:rPr>
          <w:sz w:val="22"/>
          <w:szCs w:val="22"/>
        </w:rPr>
        <w:t xml:space="preserve">, </w:t>
      </w:r>
      <w:r w:rsidRPr="00F276E7">
        <w:rPr>
          <w:i/>
          <w:iCs/>
          <w:sz w:val="22"/>
          <w:szCs w:val="22"/>
        </w:rPr>
        <w:t>51</w:t>
      </w:r>
      <w:r w:rsidRPr="00F276E7">
        <w:rPr>
          <w:sz w:val="22"/>
          <w:szCs w:val="22"/>
        </w:rPr>
        <w:t>(4), 54-72.</w:t>
      </w:r>
    </w:p>
    <w:p w14:paraId="1214532C" w14:textId="77777777" w:rsidR="007457A7" w:rsidRDefault="007457A7" w:rsidP="007457A7">
      <w:pPr>
        <w:widowControl w:val="0"/>
        <w:spacing w:line="480" w:lineRule="auto"/>
        <w:rPr>
          <w:b/>
        </w:rPr>
      </w:pPr>
    </w:p>
    <w:p w14:paraId="2ECA75A6" w14:textId="2C98EA4A" w:rsidR="007457A7" w:rsidRDefault="007457A7" w:rsidP="007457A7">
      <w:pPr>
        <w:widowControl w:val="0"/>
        <w:rPr>
          <w:rStyle w:val="markjly38dgig"/>
          <w:color w:val="242424"/>
          <w:bdr w:val="none" w:sz="0" w:space="0" w:color="auto" w:frame="1"/>
          <w:shd w:val="clear" w:color="auto" w:fill="FFFFFF"/>
        </w:rPr>
      </w:pPr>
      <w:r>
        <w:rPr>
          <w:rStyle w:val="markjly38dgig"/>
          <w:color w:val="242424"/>
          <w:bdr w:val="none" w:sz="0" w:space="0" w:color="auto" w:frame="1"/>
          <w:shd w:val="clear" w:color="auto" w:fill="FFFFFF"/>
        </w:rPr>
        <w:t xml:space="preserve">Kashef Majid is an Associate Professor of Marketing, College of Business, University of Mary Washington, Virginia, United States of America. </w:t>
      </w:r>
      <w:r>
        <w:t>His teaching and research areas include customer relationship management, international marketing,</w:t>
      </w:r>
      <w:r>
        <w:t xml:space="preserve"> business &amp; society, and </w:t>
      </w:r>
      <w:r>
        <w:t xml:space="preserve">interactive advertising. He has published in the </w:t>
      </w:r>
      <w:r w:rsidRPr="00634EC8">
        <w:rPr>
          <w:i/>
          <w:iCs/>
        </w:rPr>
        <w:t>Journal of Business Research</w:t>
      </w:r>
      <w:r>
        <w:t xml:space="preserve">, </w:t>
      </w:r>
      <w:r w:rsidRPr="00634EC8">
        <w:rPr>
          <w:i/>
          <w:iCs/>
        </w:rPr>
        <w:t>International Marketing Review</w:t>
      </w:r>
      <w:r>
        <w:t xml:space="preserve">, </w:t>
      </w:r>
      <w:r w:rsidRPr="00634EC8">
        <w:rPr>
          <w:i/>
          <w:iCs/>
        </w:rPr>
        <w:t>Marketing Intelligence and Planning,</w:t>
      </w:r>
      <w:r>
        <w:t xml:space="preserve"> as well as the </w:t>
      </w:r>
      <w:r w:rsidRPr="00634EC8">
        <w:rPr>
          <w:i/>
          <w:iCs/>
        </w:rPr>
        <w:t>Journal of Product and Brand Management</w:t>
      </w:r>
      <w:r>
        <w:t>.</w:t>
      </w:r>
    </w:p>
    <w:p w14:paraId="0DF3F792" w14:textId="77777777" w:rsidR="007457A7" w:rsidRDefault="007457A7" w:rsidP="007457A7">
      <w:pPr>
        <w:widowControl w:val="0"/>
        <w:rPr>
          <w:rStyle w:val="markjly38dgig"/>
          <w:color w:val="242424"/>
          <w:bdr w:val="none" w:sz="0" w:space="0" w:color="auto" w:frame="1"/>
          <w:shd w:val="clear" w:color="auto" w:fill="FFFFFF"/>
        </w:rPr>
      </w:pPr>
    </w:p>
    <w:p w14:paraId="77CDDB5B" w14:textId="73B62C32" w:rsidR="00193D44" w:rsidRPr="002D6A77" w:rsidRDefault="007457A7" w:rsidP="007457A7">
      <w:pPr>
        <w:widowControl w:val="0"/>
      </w:pPr>
      <w:r>
        <w:rPr>
          <w:rStyle w:val="markjly38dgig"/>
          <w:color w:val="242424"/>
          <w:bdr w:val="none" w:sz="0" w:space="0" w:color="auto" w:frame="1"/>
          <w:shd w:val="clear" w:color="auto" w:fill="FFFFFF"/>
        </w:rPr>
        <w:t>Hari</w:t>
      </w:r>
      <w:r>
        <w:rPr>
          <w:color w:val="242424"/>
          <w:shd w:val="clear" w:color="auto" w:fill="FFFFFF"/>
        </w:rPr>
        <w:t> Bapuji is a Professor in the Department of Management and Marketing, Faculty of Business and Economics, The University of Melbourne, Australia. His research interests lie at the intersection of business and society, with a particular focus on how economic inequality affects businesses and vice versa. His research appeared in leading management journals and has also been noted for its impact on practice and policy. He serves as a co-editor of </w:t>
      </w:r>
      <w:r>
        <w:rPr>
          <w:i/>
          <w:iCs/>
          <w:color w:val="242424"/>
          <w:shd w:val="clear" w:color="auto" w:fill="FFFFFF"/>
        </w:rPr>
        <w:t>Business &amp; Society</w:t>
      </w:r>
      <w:r>
        <w:rPr>
          <w:color w:val="242424"/>
          <w:shd w:val="clear" w:color="auto" w:fill="FFFFFF"/>
        </w:rPr>
        <w:t> and is a co-founder of </w:t>
      </w:r>
      <w:r>
        <w:rPr>
          <w:i/>
          <w:iCs/>
          <w:color w:val="242424"/>
          <w:shd w:val="clear" w:color="auto" w:fill="FFFFFF"/>
        </w:rPr>
        <w:t>Action to Improve Representation</w:t>
      </w:r>
      <w:r>
        <w:rPr>
          <w:color w:val="242424"/>
          <w:shd w:val="clear" w:color="auto" w:fill="FFFFFF"/>
        </w:rPr>
        <w:t>.</w:t>
      </w:r>
      <w:r w:rsidR="00193D44" w:rsidRPr="002D6A77">
        <w:rPr>
          <w:b/>
        </w:rPr>
        <w:br w:type="page"/>
      </w:r>
    </w:p>
    <w:p w14:paraId="6EBA0B0C" w14:textId="77777777" w:rsidR="00214F06" w:rsidRDefault="00214F06">
      <w:pPr>
        <w:rPr>
          <w:b/>
        </w:rPr>
        <w:sectPr w:rsidR="00214F06" w:rsidSect="00784905">
          <w:footerReference w:type="default" r:id="rId14"/>
          <w:footnotePr>
            <w:pos w:val="beneathText"/>
          </w:footnotePr>
          <w:pgSz w:w="12240" w:h="15840"/>
          <w:pgMar w:top="1440" w:right="1440" w:bottom="1440" w:left="1440" w:header="720" w:footer="720" w:gutter="0"/>
          <w:cols w:space="720"/>
          <w:docGrid w:linePitch="360"/>
        </w:sectPr>
      </w:pPr>
    </w:p>
    <w:p w14:paraId="3A7898BE" w14:textId="4E6C7822" w:rsidR="007F4AA9" w:rsidRPr="00F276E7" w:rsidRDefault="007F4AA9" w:rsidP="00867631">
      <w:pPr>
        <w:jc w:val="center"/>
        <w:rPr>
          <w:b/>
          <w:sz w:val="22"/>
          <w:szCs w:val="22"/>
        </w:rPr>
      </w:pPr>
      <w:r w:rsidRPr="00F276E7">
        <w:rPr>
          <w:b/>
          <w:sz w:val="22"/>
          <w:szCs w:val="22"/>
        </w:rPr>
        <w:lastRenderedPageBreak/>
        <w:t>T</w:t>
      </w:r>
      <w:r w:rsidR="00422366" w:rsidRPr="00F276E7">
        <w:rPr>
          <w:b/>
          <w:sz w:val="22"/>
          <w:szCs w:val="22"/>
        </w:rPr>
        <w:t>ABLE 1</w:t>
      </w:r>
      <w:r w:rsidRPr="00F276E7">
        <w:rPr>
          <w:b/>
          <w:sz w:val="22"/>
          <w:szCs w:val="22"/>
        </w:rPr>
        <w:t xml:space="preserve"> – </w:t>
      </w:r>
      <w:r w:rsidR="00013F7F">
        <w:rPr>
          <w:b/>
          <w:sz w:val="22"/>
          <w:szCs w:val="22"/>
        </w:rPr>
        <w:t xml:space="preserve">VEHICLE </w:t>
      </w:r>
      <w:r w:rsidR="00422366" w:rsidRPr="00F276E7">
        <w:rPr>
          <w:b/>
          <w:sz w:val="22"/>
          <w:szCs w:val="22"/>
        </w:rPr>
        <w:t>RECALL PROCESS IN THE U.S</w:t>
      </w:r>
      <w:r w:rsidR="00214F06" w:rsidRPr="00F276E7">
        <w:rPr>
          <w:b/>
          <w:sz w:val="22"/>
          <w:szCs w:val="22"/>
        </w:rPr>
        <w:t xml:space="preserve">, </w:t>
      </w:r>
      <w:r w:rsidR="00422366" w:rsidRPr="00F276E7">
        <w:rPr>
          <w:b/>
          <w:sz w:val="22"/>
          <w:szCs w:val="22"/>
        </w:rPr>
        <w:t>U.K</w:t>
      </w:r>
      <w:r w:rsidR="00214F06" w:rsidRPr="00F276E7">
        <w:rPr>
          <w:b/>
          <w:sz w:val="22"/>
          <w:szCs w:val="22"/>
        </w:rPr>
        <w:t>, GERMANY, AND AUSTRALIA</w:t>
      </w:r>
      <w:r w:rsidR="00422366" w:rsidRPr="00F276E7">
        <w:rPr>
          <w:b/>
          <w:sz w:val="22"/>
          <w:szCs w:val="22"/>
        </w:rPr>
        <w:t xml:space="preserve"> </w:t>
      </w:r>
    </w:p>
    <w:p w14:paraId="42A2FF1B" w14:textId="77777777" w:rsidR="00DF5913" w:rsidRPr="002D6A77" w:rsidRDefault="00DF5913" w:rsidP="00867631">
      <w:pPr>
        <w:jc w:val="center"/>
        <w:rPr>
          <w:b/>
        </w:rPr>
      </w:pPr>
    </w:p>
    <w:tbl>
      <w:tblPr>
        <w:tblStyle w:val="TableGrid"/>
        <w:tblW w:w="13135" w:type="dxa"/>
        <w:tblLook w:val="04A0" w:firstRow="1" w:lastRow="0" w:firstColumn="1" w:lastColumn="0" w:noHBand="0" w:noVBand="1"/>
      </w:tblPr>
      <w:tblGrid>
        <w:gridCol w:w="1525"/>
        <w:gridCol w:w="2880"/>
        <w:gridCol w:w="2880"/>
        <w:gridCol w:w="2970"/>
        <w:gridCol w:w="2880"/>
      </w:tblGrid>
      <w:tr w:rsidR="00214F06" w:rsidRPr="00DF5913" w14:paraId="7C1E9B93" w14:textId="567FDA3A" w:rsidTr="00DC3F75">
        <w:trPr>
          <w:tblHeader/>
        </w:trPr>
        <w:tc>
          <w:tcPr>
            <w:tcW w:w="1525" w:type="dxa"/>
            <w:shd w:val="clear" w:color="auto" w:fill="D9D9D9" w:themeFill="background1" w:themeFillShade="D9"/>
          </w:tcPr>
          <w:p w14:paraId="16480021" w14:textId="77777777" w:rsidR="00214F06" w:rsidRPr="00F276E7" w:rsidRDefault="00214F06" w:rsidP="00DC3F75">
            <w:pPr>
              <w:spacing w:before="120" w:after="120"/>
              <w:jc w:val="center"/>
              <w:rPr>
                <w:b/>
                <w:sz w:val="22"/>
                <w:szCs w:val="22"/>
              </w:rPr>
            </w:pPr>
          </w:p>
        </w:tc>
        <w:tc>
          <w:tcPr>
            <w:tcW w:w="2880" w:type="dxa"/>
            <w:shd w:val="clear" w:color="auto" w:fill="D9D9D9" w:themeFill="background1" w:themeFillShade="D9"/>
          </w:tcPr>
          <w:p w14:paraId="6339B0ED" w14:textId="29BF49A5" w:rsidR="00214F06" w:rsidRPr="0071457E" w:rsidRDefault="000A1B0A" w:rsidP="0071457E">
            <w:pPr>
              <w:spacing w:before="120" w:after="120"/>
              <w:jc w:val="center"/>
              <w:rPr>
                <w:b/>
                <w:sz w:val="22"/>
                <w:szCs w:val="22"/>
              </w:rPr>
            </w:pPr>
            <w:r w:rsidRPr="00F276E7">
              <w:rPr>
                <w:b/>
                <w:sz w:val="22"/>
                <w:szCs w:val="22"/>
              </w:rPr>
              <w:t>U.S</w:t>
            </w:r>
            <w:r w:rsidR="0071457E">
              <w:rPr>
                <w:b/>
                <w:sz w:val="22"/>
                <w:szCs w:val="22"/>
              </w:rPr>
              <w:t xml:space="preserve">* </w:t>
            </w:r>
          </w:p>
        </w:tc>
        <w:tc>
          <w:tcPr>
            <w:tcW w:w="2880" w:type="dxa"/>
            <w:shd w:val="clear" w:color="auto" w:fill="D9D9D9" w:themeFill="background1" w:themeFillShade="D9"/>
          </w:tcPr>
          <w:p w14:paraId="3745641E" w14:textId="04CC5192" w:rsidR="0071457E" w:rsidRPr="00F276E7" w:rsidRDefault="000A1B0A" w:rsidP="0071457E">
            <w:pPr>
              <w:spacing w:before="120" w:after="120"/>
              <w:jc w:val="center"/>
              <w:rPr>
                <w:b/>
                <w:sz w:val="22"/>
                <w:szCs w:val="22"/>
              </w:rPr>
            </w:pPr>
            <w:r w:rsidRPr="00F276E7">
              <w:rPr>
                <w:b/>
                <w:sz w:val="22"/>
                <w:szCs w:val="22"/>
              </w:rPr>
              <w:t>U.K</w:t>
            </w:r>
            <w:r w:rsidR="00FE184C">
              <w:rPr>
                <w:b/>
                <w:sz w:val="22"/>
                <w:szCs w:val="22"/>
              </w:rPr>
              <w:t>**</w:t>
            </w:r>
          </w:p>
        </w:tc>
        <w:tc>
          <w:tcPr>
            <w:tcW w:w="2970" w:type="dxa"/>
            <w:shd w:val="clear" w:color="auto" w:fill="D9D9D9" w:themeFill="background1" w:themeFillShade="D9"/>
          </w:tcPr>
          <w:p w14:paraId="30667A16" w14:textId="646F1360" w:rsidR="00214F06" w:rsidRPr="00F276E7" w:rsidRDefault="00214F06" w:rsidP="00DC3F75">
            <w:pPr>
              <w:spacing w:before="120" w:after="120"/>
              <w:jc w:val="center"/>
              <w:rPr>
                <w:b/>
                <w:sz w:val="22"/>
                <w:szCs w:val="22"/>
              </w:rPr>
            </w:pPr>
            <w:r w:rsidRPr="00F276E7">
              <w:rPr>
                <w:b/>
                <w:sz w:val="22"/>
                <w:szCs w:val="22"/>
              </w:rPr>
              <w:t>Germany</w:t>
            </w:r>
            <w:r w:rsidR="00FE184C">
              <w:rPr>
                <w:b/>
                <w:sz w:val="22"/>
                <w:szCs w:val="22"/>
              </w:rPr>
              <w:t>***</w:t>
            </w:r>
          </w:p>
        </w:tc>
        <w:tc>
          <w:tcPr>
            <w:tcW w:w="2880" w:type="dxa"/>
            <w:shd w:val="clear" w:color="auto" w:fill="D9D9D9" w:themeFill="background1" w:themeFillShade="D9"/>
          </w:tcPr>
          <w:p w14:paraId="01E3B592" w14:textId="3DFD0ACA" w:rsidR="00214F06" w:rsidRPr="00F276E7" w:rsidRDefault="00214F06" w:rsidP="00DC3F75">
            <w:pPr>
              <w:spacing w:before="120" w:after="120"/>
              <w:jc w:val="center"/>
              <w:rPr>
                <w:b/>
                <w:sz w:val="22"/>
                <w:szCs w:val="22"/>
              </w:rPr>
            </w:pPr>
            <w:r w:rsidRPr="00F276E7">
              <w:rPr>
                <w:b/>
                <w:sz w:val="22"/>
                <w:szCs w:val="22"/>
              </w:rPr>
              <w:t>Australia</w:t>
            </w:r>
            <w:r w:rsidR="00FE184C">
              <w:rPr>
                <w:b/>
                <w:sz w:val="22"/>
                <w:szCs w:val="22"/>
              </w:rPr>
              <w:t>****</w:t>
            </w:r>
          </w:p>
        </w:tc>
      </w:tr>
      <w:tr w:rsidR="00214F06" w:rsidRPr="002D6A77" w14:paraId="7B652263" w14:textId="17B954FE" w:rsidTr="00540D8E">
        <w:tc>
          <w:tcPr>
            <w:tcW w:w="1525" w:type="dxa"/>
          </w:tcPr>
          <w:p w14:paraId="3D435DF3" w14:textId="2FA6017D" w:rsidR="00214F06" w:rsidRPr="002D6A77" w:rsidRDefault="00214F06" w:rsidP="00867631">
            <w:pPr>
              <w:jc w:val="center"/>
              <w:rPr>
                <w:b/>
              </w:rPr>
            </w:pPr>
            <w:r w:rsidRPr="00F276E7">
              <w:rPr>
                <w:b/>
                <w:sz w:val="22"/>
                <w:szCs w:val="22"/>
              </w:rPr>
              <w:t>Before the Recall</w:t>
            </w:r>
          </w:p>
        </w:tc>
        <w:tc>
          <w:tcPr>
            <w:tcW w:w="2880" w:type="dxa"/>
          </w:tcPr>
          <w:p w14:paraId="6E189D41" w14:textId="590ADAF5" w:rsidR="00214F06" w:rsidRPr="00D8261F" w:rsidRDefault="00214F06" w:rsidP="00DC3F75">
            <w:pPr>
              <w:pStyle w:val="ListParagraph"/>
              <w:numPr>
                <w:ilvl w:val="0"/>
                <w:numId w:val="9"/>
              </w:numPr>
              <w:ind w:left="206" w:hanging="206"/>
              <w:rPr>
                <w:rFonts w:ascii="Times New Roman" w:hAnsi="Times New Roman" w:cs="Times New Roman"/>
                <w:bCs/>
                <w:sz w:val="20"/>
                <w:szCs w:val="20"/>
              </w:rPr>
            </w:pPr>
            <w:r w:rsidRPr="00D8261F">
              <w:rPr>
                <w:rFonts w:ascii="Times New Roman" w:hAnsi="Times New Roman" w:cs="Times New Roman"/>
                <w:bCs/>
                <w:sz w:val="20"/>
                <w:szCs w:val="20"/>
              </w:rPr>
              <w:t>Consumers and partners (dealerships) initiate the complaint with the manufacturer and the National Highway Traffic Safety Administration (NHTSA)</w:t>
            </w:r>
            <w:r w:rsidR="00EC3B9A" w:rsidRPr="00D8261F">
              <w:rPr>
                <w:rFonts w:ascii="Times New Roman" w:hAnsi="Times New Roman" w:cs="Times New Roman"/>
                <w:bCs/>
                <w:sz w:val="20"/>
                <w:szCs w:val="20"/>
              </w:rPr>
              <w:t>.</w:t>
            </w:r>
          </w:p>
          <w:p w14:paraId="3C3E1964" w14:textId="079292C1" w:rsidR="00214F06" w:rsidRPr="00D8261F" w:rsidRDefault="00214F06" w:rsidP="00DC3F75">
            <w:pPr>
              <w:pStyle w:val="ListParagraph"/>
              <w:numPr>
                <w:ilvl w:val="0"/>
                <w:numId w:val="9"/>
              </w:numPr>
              <w:ind w:left="206" w:hanging="206"/>
              <w:rPr>
                <w:rFonts w:ascii="Times New Roman" w:hAnsi="Times New Roman" w:cs="Times New Roman"/>
                <w:bCs/>
                <w:sz w:val="20"/>
                <w:szCs w:val="20"/>
              </w:rPr>
            </w:pPr>
            <w:r w:rsidRPr="00D8261F">
              <w:rPr>
                <w:rFonts w:ascii="Times New Roman" w:hAnsi="Times New Roman" w:cs="Times New Roman"/>
                <w:bCs/>
                <w:sz w:val="20"/>
                <w:szCs w:val="20"/>
              </w:rPr>
              <w:t>NHTSA conducts an investigation from reported complaints.</w:t>
            </w:r>
          </w:p>
          <w:p w14:paraId="5C77FD61" w14:textId="579ABB8D" w:rsidR="00214F06" w:rsidRPr="00D8261F" w:rsidRDefault="00214F06" w:rsidP="00DC3F75">
            <w:pPr>
              <w:pStyle w:val="ListParagraph"/>
              <w:numPr>
                <w:ilvl w:val="0"/>
                <w:numId w:val="9"/>
              </w:numPr>
              <w:ind w:left="206" w:hanging="206"/>
              <w:rPr>
                <w:rFonts w:ascii="Times New Roman" w:hAnsi="Times New Roman" w:cs="Times New Roman"/>
                <w:bCs/>
                <w:sz w:val="20"/>
                <w:szCs w:val="20"/>
              </w:rPr>
            </w:pPr>
            <w:r w:rsidRPr="00D8261F">
              <w:rPr>
                <w:rFonts w:ascii="Times New Roman" w:hAnsi="Times New Roman" w:cs="Times New Roman"/>
                <w:bCs/>
                <w:sz w:val="20"/>
                <w:szCs w:val="20"/>
              </w:rPr>
              <w:t xml:space="preserve">The manufacturer </w:t>
            </w:r>
            <w:r w:rsidR="00507099" w:rsidRPr="00D8261F">
              <w:rPr>
                <w:rFonts w:ascii="Times New Roman" w:hAnsi="Times New Roman" w:cs="Times New Roman"/>
                <w:bCs/>
                <w:sz w:val="20"/>
                <w:szCs w:val="20"/>
              </w:rPr>
              <w:t xml:space="preserve">also </w:t>
            </w:r>
            <w:r w:rsidRPr="00D8261F">
              <w:rPr>
                <w:rFonts w:ascii="Times New Roman" w:hAnsi="Times New Roman" w:cs="Times New Roman"/>
                <w:bCs/>
                <w:sz w:val="20"/>
                <w:szCs w:val="20"/>
              </w:rPr>
              <w:t>investigates the complaints simultaneously</w:t>
            </w:r>
          </w:p>
        </w:tc>
        <w:tc>
          <w:tcPr>
            <w:tcW w:w="2880" w:type="dxa"/>
          </w:tcPr>
          <w:p w14:paraId="4B4A568A" w14:textId="3DF571C3" w:rsidR="00214F06" w:rsidRPr="00D8261F" w:rsidRDefault="00214F06" w:rsidP="00DC3F75">
            <w:pPr>
              <w:pStyle w:val="ListParagraph"/>
              <w:numPr>
                <w:ilvl w:val="0"/>
                <w:numId w:val="9"/>
              </w:numPr>
              <w:ind w:left="206" w:hanging="206"/>
              <w:rPr>
                <w:rFonts w:ascii="Times New Roman" w:hAnsi="Times New Roman" w:cs="Times New Roman"/>
                <w:bCs/>
                <w:sz w:val="20"/>
                <w:szCs w:val="20"/>
              </w:rPr>
            </w:pPr>
            <w:r w:rsidRPr="00D8261F">
              <w:rPr>
                <w:rFonts w:ascii="Times New Roman" w:hAnsi="Times New Roman" w:cs="Times New Roman"/>
                <w:bCs/>
                <w:sz w:val="20"/>
                <w:szCs w:val="20"/>
              </w:rPr>
              <w:t>Consumers and partners (dealerships) initiate the complaint with the manufacturer and/or the Driver and Vehicle Standards Agency (DVSA)</w:t>
            </w:r>
            <w:r w:rsidR="00EC3B9A" w:rsidRPr="00D8261F">
              <w:rPr>
                <w:rFonts w:ascii="Times New Roman" w:hAnsi="Times New Roman" w:cs="Times New Roman"/>
                <w:bCs/>
                <w:sz w:val="20"/>
                <w:szCs w:val="20"/>
              </w:rPr>
              <w:t>.</w:t>
            </w:r>
          </w:p>
          <w:p w14:paraId="4BBDC442" w14:textId="653CCAFF" w:rsidR="00214F06" w:rsidRPr="00D8261F" w:rsidRDefault="00214F06" w:rsidP="00DC3F75">
            <w:pPr>
              <w:pStyle w:val="ListParagraph"/>
              <w:numPr>
                <w:ilvl w:val="0"/>
                <w:numId w:val="9"/>
              </w:numPr>
              <w:ind w:left="206" w:hanging="206"/>
              <w:rPr>
                <w:rFonts w:ascii="Times New Roman" w:hAnsi="Times New Roman" w:cs="Times New Roman"/>
                <w:bCs/>
                <w:sz w:val="20"/>
                <w:szCs w:val="20"/>
              </w:rPr>
            </w:pPr>
            <w:r w:rsidRPr="00D8261F">
              <w:rPr>
                <w:rFonts w:ascii="Times New Roman" w:hAnsi="Times New Roman" w:cs="Times New Roman"/>
                <w:bCs/>
                <w:sz w:val="20"/>
                <w:szCs w:val="20"/>
              </w:rPr>
              <w:t>DVSA conducts an investigation from reported complaints.</w:t>
            </w:r>
          </w:p>
          <w:p w14:paraId="780A1F29" w14:textId="146B4D64" w:rsidR="00214F06" w:rsidRPr="00D8261F" w:rsidRDefault="00214F06" w:rsidP="00DC3F75">
            <w:pPr>
              <w:pStyle w:val="ListParagraph"/>
              <w:numPr>
                <w:ilvl w:val="0"/>
                <w:numId w:val="9"/>
              </w:numPr>
              <w:ind w:left="206" w:hanging="206"/>
              <w:rPr>
                <w:rFonts w:ascii="Times New Roman" w:hAnsi="Times New Roman" w:cs="Times New Roman"/>
                <w:bCs/>
                <w:sz w:val="20"/>
                <w:szCs w:val="20"/>
              </w:rPr>
            </w:pPr>
            <w:r w:rsidRPr="00D8261F">
              <w:rPr>
                <w:rFonts w:ascii="Times New Roman" w:hAnsi="Times New Roman" w:cs="Times New Roman"/>
                <w:bCs/>
                <w:sz w:val="20"/>
                <w:szCs w:val="20"/>
              </w:rPr>
              <w:t xml:space="preserve">The manufacturer </w:t>
            </w:r>
            <w:r w:rsidR="00EC3B9A" w:rsidRPr="00D8261F">
              <w:rPr>
                <w:rFonts w:ascii="Times New Roman" w:hAnsi="Times New Roman" w:cs="Times New Roman"/>
                <w:bCs/>
                <w:sz w:val="20"/>
                <w:szCs w:val="20"/>
              </w:rPr>
              <w:t xml:space="preserve">also </w:t>
            </w:r>
            <w:r w:rsidRPr="00D8261F">
              <w:rPr>
                <w:rFonts w:ascii="Times New Roman" w:hAnsi="Times New Roman" w:cs="Times New Roman"/>
                <w:bCs/>
                <w:sz w:val="20"/>
                <w:szCs w:val="20"/>
              </w:rPr>
              <w:t>investigates the complaints simultaneously</w:t>
            </w:r>
            <w:r w:rsidR="00EC3B9A" w:rsidRPr="00D8261F">
              <w:rPr>
                <w:rFonts w:ascii="Times New Roman" w:hAnsi="Times New Roman" w:cs="Times New Roman"/>
                <w:bCs/>
                <w:sz w:val="20"/>
                <w:szCs w:val="20"/>
              </w:rPr>
              <w:t>.</w:t>
            </w:r>
          </w:p>
          <w:p w14:paraId="024064BC" w14:textId="1A5CE000" w:rsidR="00214F06" w:rsidRPr="00D8261F" w:rsidRDefault="00214F06" w:rsidP="00175B59">
            <w:pPr>
              <w:pStyle w:val="ListParagraph"/>
              <w:rPr>
                <w:rFonts w:ascii="Times New Roman" w:hAnsi="Times New Roman" w:cs="Times New Roman"/>
                <w:bCs/>
                <w:sz w:val="20"/>
                <w:szCs w:val="20"/>
              </w:rPr>
            </w:pPr>
          </w:p>
        </w:tc>
        <w:tc>
          <w:tcPr>
            <w:tcW w:w="2970" w:type="dxa"/>
          </w:tcPr>
          <w:p w14:paraId="30A1C90C" w14:textId="44BCFB58" w:rsidR="0097594E" w:rsidRPr="00D8261F" w:rsidRDefault="0097594E" w:rsidP="00DC3F75">
            <w:pPr>
              <w:pStyle w:val="ListParagraph"/>
              <w:numPr>
                <w:ilvl w:val="0"/>
                <w:numId w:val="9"/>
              </w:numPr>
              <w:ind w:left="206" w:hanging="206"/>
              <w:rPr>
                <w:rFonts w:ascii="Times New Roman" w:hAnsi="Times New Roman" w:cs="Times New Roman"/>
                <w:bCs/>
                <w:sz w:val="20"/>
                <w:szCs w:val="20"/>
              </w:rPr>
            </w:pPr>
            <w:r w:rsidRPr="00D8261F">
              <w:rPr>
                <w:rFonts w:ascii="Times New Roman" w:hAnsi="Times New Roman" w:cs="Times New Roman"/>
                <w:bCs/>
                <w:sz w:val="20"/>
                <w:szCs w:val="20"/>
              </w:rPr>
              <w:t>Consumers and partners (dealerships) initiate the complaint with the manufacturer and/or the</w:t>
            </w:r>
            <w:r w:rsidR="00952ABC" w:rsidRPr="00D8261F">
              <w:rPr>
                <w:rFonts w:ascii="Times New Roman" w:hAnsi="Times New Roman" w:cs="Times New Roman"/>
                <w:bCs/>
                <w:sz w:val="20"/>
                <w:szCs w:val="20"/>
              </w:rPr>
              <w:t xml:space="preserve"> </w:t>
            </w:r>
            <w:proofErr w:type="spellStart"/>
            <w:r w:rsidR="00952ABC" w:rsidRPr="00D8261F">
              <w:rPr>
                <w:rFonts w:ascii="Times New Roman" w:hAnsi="Times New Roman" w:cs="Times New Roman"/>
                <w:bCs/>
                <w:sz w:val="20"/>
                <w:szCs w:val="20"/>
              </w:rPr>
              <w:t>Krafthart-Bundesamt</w:t>
            </w:r>
            <w:proofErr w:type="spellEnd"/>
            <w:r w:rsidR="00952ABC" w:rsidRPr="00D8261F">
              <w:rPr>
                <w:rFonts w:ascii="Times New Roman" w:hAnsi="Times New Roman" w:cs="Times New Roman"/>
                <w:bCs/>
                <w:sz w:val="20"/>
                <w:szCs w:val="20"/>
              </w:rPr>
              <w:t xml:space="preserve"> (KBA) </w:t>
            </w:r>
          </w:p>
          <w:p w14:paraId="5C02051C" w14:textId="694AEA6E" w:rsidR="0097594E" w:rsidRPr="00D8261F" w:rsidRDefault="0097594E" w:rsidP="00DC3F75">
            <w:pPr>
              <w:pStyle w:val="ListParagraph"/>
              <w:numPr>
                <w:ilvl w:val="0"/>
                <w:numId w:val="9"/>
              </w:numPr>
              <w:ind w:left="206" w:hanging="206"/>
              <w:rPr>
                <w:rFonts w:ascii="Times New Roman" w:hAnsi="Times New Roman" w:cs="Times New Roman"/>
                <w:bCs/>
                <w:sz w:val="20"/>
                <w:szCs w:val="20"/>
              </w:rPr>
            </w:pPr>
            <w:r w:rsidRPr="00D8261F">
              <w:rPr>
                <w:rFonts w:ascii="Times New Roman" w:hAnsi="Times New Roman" w:cs="Times New Roman"/>
                <w:bCs/>
                <w:sz w:val="20"/>
                <w:szCs w:val="20"/>
              </w:rPr>
              <w:t>KBA conducts an investigation from reported complaints.</w:t>
            </w:r>
          </w:p>
          <w:p w14:paraId="01DC9167" w14:textId="78AED676" w:rsidR="00214F06" w:rsidRPr="00D8261F" w:rsidRDefault="0097594E" w:rsidP="00DC3F75">
            <w:pPr>
              <w:pStyle w:val="ListParagraph"/>
              <w:numPr>
                <w:ilvl w:val="0"/>
                <w:numId w:val="9"/>
              </w:numPr>
              <w:ind w:left="206" w:hanging="206"/>
              <w:rPr>
                <w:rFonts w:ascii="Times New Roman" w:hAnsi="Times New Roman" w:cs="Times New Roman"/>
                <w:bCs/>
                <w:sz w:val="20"/>
                <w:szCs w:val="20"/>
              </w:rPr>
            </w:pPr>
            <w:r w:rsidRPr="00D8261F">
              <w:rPr>
                <w:rFonts w:ascii="Times New Roman" w:hAnsi="Times New Roman" w:cs="Times New Roman"/>
                <w:bCs/>
                <w:sz w:val="20"/>
                <w:szCs w:val="20"/>
              </w:rPr>
              <w:t xml:space="preserve">The manufacturer </w:t>
            </w:r>
            <w:r w:rsidR="00EC3B9A" w:rsidRPr="00D8261F">
              <w:rPr>
                <w:rFonts w:ascii="Times New Roman" w:hAnsi="Times New Roman" w:cs="Times New Roman"/>
                <w:bCs/>
                <w:sz w:val="20"/>
                <w:szCs w:val="20"/>
              </w:rPr>
              <w:t xml:space="preserve">also </w:t>
            </w:r>
            <w:r w:rsidRPr="00D8261F">
              <w:rPr>
                <w:rFonts w:ascii="Times New Roman" w:hAnsi="Times New Roman" w:cs="Times New Roman"/>
                <w:bCs/>
                <w:sz w:val="20"/>
                <w:szCs w:val="20"/>
              </w:rPr>
              <w:t>investigates the complaints simultaneously</w:t>
            </w:r>
            <w:r w:rsidR="00EC3B9A" w:rsidRPr="00D8261F">
              <w:rPr>
                <w:rFonts w:ascii="Times New Roman" w:hAnsi="Times New Roman" w:cs="Times New Roman"/>
                <w:bCs/>
                <w:sz w:val="20"/>
                <w:szCs w:val="20"/>
              </w:rPr>
              <w:t>.</w:t>
            </w:r>
          </w:p>
        </w:tc>
        <w:tc>
          <w:tcPr>
            <w:tcW w:w="2880" w:type="dxa"/>
          </w:tcPr>
          <w:p w14:paraId="64B79E95" w14:textId="210338BC" w:rsidR="002116E0" w:rsidRPr="00D8261F" w:rsidRDefault="002116E0" w:rsidP="00DC3F75">
            <w:pPr>
              <w:pStyle w:val="ListParagraph"/>
              <w:numPr>
                <w:ilvl w:val="0"/>
                <w:numId w:val="9"/>
              </w:numPr>
              <w:ind w:left="206" w:hanging="206"/>
              <w:rPr>
                <w:rFonts w:ascii="Times New Roman" w:hAnsi="Times New Roman" w:cs="Times New Roman"/>
                <w:bCs/>
                <w:sz w:val="20"/>
                <w:szCs w:val="20"/>
              </w:rPr>
            </w:pPr>
            <w:r w:rsidRPr="00D8261F">
              <w:rPr>
                <w:rFonts w:ascii="Times New Roman" w:hAnsi="Times New Roman" w:cs="Times New Roman"/>
                <w:bCs/>
                <w:sz w:val="20"/>
                <w:szCs w:val="20"/>
              </w:rPr>
              <w:t>Consumers and partners (dealerships) initiate the complaint with the manufacturer and/or the Department of Infrastructure, Transport, Regional Development, Communications and the Arts (DITRDA)</w:t>
            </w:r>
          </w:p>
          <w:p w14:paraId="734B94DD" w14:textId="073EF950" w:rsidR="002116E0" w:rsidRPr="00D8261F" w:rsidRDefault="002116E0" w:rsidP="00DC3F75">
            <w:pPr>
              <w:pStyle w:val="ListParagraph"/>
              <w:numPr>
                <w:ilvl w:val="0"/>
                <w:numId w:val="9"/>
              </w:numPr>
              <w:ind w:left="206" w:hanging="206"/>
              <w:rPr>
                <w:rFonts w:ascii="Times New Roman" w:hAnsi="Times New Roman" w:cs="Times New Roman"/>
                <w:bCs/>
                <w:sz w:val="20"/>
                <w:szCs w:val="20"/>
              </w:rPr>
            </w:pPr>
            <w:r w:rsidRPr="00D8261F">
              <w:rPr>
                <w:rFonts w:ascii="Times New Roman" w:hAnsi="Times New Roman" w:cs="Times New Roman"/>
                <w:bCs/>
                <w:sz w:val="20"/>
                <w:szCs w:val="20"/>
              </w:rPr>
              <w:t>DITRDA conducts an investigation from reported complaints.</w:t>
            </w:r>
          </w:p>
          <w:p w14:paraId="3BFE5B88" w14:textId="373162A0" w:rsidR="00214F06" w:rsidRPr="00D8261F" w:rsidRDefault="002116E0" w:rsidP="00DC3F75">
            <w:pPr>
              <w:pStyle w:val="ListParagraph"/>
              <w:numPr>
                <w:ilvl w:val="0"/>
                <w:numId w:val="9"/>
              </w:numPr>
              <w:ind w:left="206" w:hanging="206"/>
              <w:rPr>
                <w:rFonts w:ascii="Times New Roman" w:hAnsi="Times New Roman" w:cs="Times New Roman"/>
                <w:bCs/>
              </w:rPr>
            </w:pPr>
            <w:r w:rsidRPr="00D8261F">
              <w:rPr>
                <w:rFonts w:ascii="Times New Roman" w:hAnsi="Times New Roman" w:cs="Times New Roman"/>
                <w:bCs/>
                <w:sz w:val="20"/>
                <w:szCs w:val="20"/>
              </w:rPr>
              <w:t>The manufacturer</w:t>
            </w:r>
            <w:r w:rsidR="00EC3B9A" w:rsidRPr="00D8261F">
              <w:rPr>
                <w:rFonts w:ascii="Times New Roman" w:hAnsi="Times New Roman" w:cs="Times New Roman"/>
                <w:bCs/>
                <w:sz w:val="20"/>
                <w:szCs w:val="20"/>
              </w:rPr>
              <w:t xml:space="preserve"> also</w:t>
            </w:r>
            <w:r w:rsidRPr="00D8261F">
              <w:rPr>
                <w:rFonts w:ascii="Times New Roman" w:hAnsi="Times New Roman" w:cs="Times New Roman"/>
                <w:bCs/>
                <w:sz w:val="20"/>
                <w:szCs w:val="20"/>
              </w:rPr>
              <w:t xml:space="preserve"> investigates the complaints simultaneously</w:t>
            </w:r>
          </w:p>
        </w:tc>
      </w:tr>
      <w:tr w:rsidR="00214F06" w:rsidRPr="002D6A77" w14:paraId="2C7F5603" w14:textId="280A5749" w:rsidTr="00540D8E">
        <w:tc>
          <w:tcPr>
            <w:tcW w:w="1525" w:type="dxa"/>
          </w:tcPr>
          <w:p w14:paraId="71E5229B" w14:textId="30BB58C5" w:rsidR="00214F06" w:rsidRPr="00F276E7" w:rsidRDefault="00214F06" w:rsidP="00867631">
            <w:pPr>
              <w:jc w:val="center"/>
              <w:rPr>
                <w:b/>
                <w:sz w:val="22"/>
                <w:szCs w:val="22"/>
              </w:rPr>
            </w:pPr>
            <w:r w:rsidRPr="00F276E7">
              <w:rPr>
                <w:b/>
                <w:sz w:val="22"/>
                <w:szCs w:val="22"/>
              </w:rPr>
              <w:t>Recall Decision</w:t>
            </w:r>
          </w:p>
        </w:tc>
        <w:tc>
          <w:tcPr>
            <w:tcW w:w="2880" w:type="dxa"/>
          </w:tcPr>
          <w:p w14:paraId="6495E2BE" w14:textId="5ED0B20F" w:rsidR="00214F06" w:rsidRPr="00D8261F" w:rsidRDefault="00214F06" w:rsidP="00DC3F75">
            <w:pPr>
              <w:pStyle w:val="ListParagraph"/>
              <w:numPr>
                <w:ilvl w:val="0"/>
                <w:numId w:val="9"/>
              </w:numPr>
              <w:ind w:left="206" w:hanging="206"/>
              <w:rPr>
                <w:rFonts w:ascii="Times New Roman" w:hAnsi="Times New Roman" w:cs="Times New Roman"/>
                <w:bCs/>
                <w:sz w:val="20"/>
                <w:szCs w:val="20"/>
              </w:rPr>
            </w:pPr>
            <w:r w:rsidRPr="00D8261F">
              <w:rPr>
                <w:rFonts w:ascii="Times New Roman" w:hAnsi="Times New Roman" w:cs="Times New Roman"/>
                <w:bCs/>
                <w:sz w:val="20"/>
                <w:szCs w:val="20"/>
              </w:rPr>
              <w:t>Manufacturer issues the recall voluntarily (most recalls are voluntary)</w:t>
            </w:r>
            <w:r w:rsidR="00EC3B9A" w:rsidRPr="00D8261F">
              <w:rPr>
                <w:rFonts w:ascii="Times New Roman" w:hAnsi="Times New Roman" w:cs="Times New Roman"/>
                <w:bCs/>
                <w:sz w:val="20"/>
                <w:szCs w:val="20"/>
              </w:rPr>
              <w:t>.</w:t>
            </w:r>
          </w:p>
          <w:p w14:paraId="385D657D" w14:textId="625AAC45" w:rsidR="00214F06" w:rsidRPr="00D8261F" w:rsidRDefault="00214F06" w:rsidP="00DC3F75">
            <w:pPr>
              <w:pStyle w:val="ListParagraph"/>
              <w:numPr>
                <w:ilvl w:val="0"/>
                <w:numId w:val="9"/>
              </w:numPr>
              <w:ind w:left="206" w:hanging="206"/>
              <w:rPr>
                <w:rFonts w:ascii="Times New Roman" w:hAnsi="Times New Roman" w:cs="Times New Roman"/>
                <w:bCs/>
                <w:sz w:val="20"/>
                <w:szCs w:val="20"/>
              </w:rPr>
            </w:pPr>
            <w:r w:rsidRPr="00D8261F">
              <w:rPr>
                <w:rFonts w:ascii="Times New Roman" w:hAnsi="Times New Roman" w:cs="Times New Roman"/>
                <w:bCs/>
                <w:sz w:val="20"/>
                <w:szCs w:val="20"/>
              </w:rPr>
              <w:t>The NHTSA can compel the manufacturer to issue the recall</w:t>
            </w:r>
            <w:r w:rsidR="00EC3B9A" w:rsidRPr="00D8261F">
              <w:rPr>
                <w:rFonts w:ascii="Times New Roman" w:hAnsi="Times New Roman" w:cs="Times New Roman"/>
                <w:bCs/>
                <w:sz w:val="20"/>
                <w:szCs w:val="20"/>
              </w:rPr>
              <w:t>.</w:t>
            </w:r>
          </w:p>
          <w:p w14:paraId="7E6D81C6" w14:textId="1E1C6973" w:rsidR="00214F06" w:rsidRPr="00D8261F" w:rsidRDefault="00214F06" w:rsidP="00DC3F75">
            <w:pPr>
              <w:pStyle w:val="ListParagraph"/>
              <w:numPr>
                <w:ilvl w:val="0"/>
                <w:numId w:val="9"/>
              </w:numPr>
              <w:ind w:left="206" w:hanging="206"/>
              <w:rPr>
                <w:rFonts w:ascii="Times New Roman" w:hAnsi="Times New Roman" w:cs="Times New Roman"/>
                <w:bCs/>
                <w:sz w:val="20"/>
                <w:szCs w:val="20"/>
              </w:rPr>
            </w:pPr>
            <w:r w:rsidRPr="00D8261F">
              <w:rPr>
                <w:rFonts w:ascii="Times New Roman" w:hAnsi="Times New Roman" w:cs="Times New Roman"/>
                <w:bCs/>
                <w:sz w:val="20"/>
                <w:szCs w:val="20"/>
              </w:rPr>
              <w:t>Consumers are notified that their vehicle is under recall and the vehicle will be fixed free of charge</w:t>
            </w:r>
            <w:r w:rsidR="00EC3B9A" w:rsidRPr="00D8261F">
              <w:rPr>
                <w:rFonts w:ascii="Times New Roman" w:hAnsi="Times New Roman" w:cs="Times New Roman"/>
                <w:bCs/>
                <w:sz w:val="20"/>
                <w:szCs w:val="20"/>
              </w:rPr>
              <w:t>.</w:t>
            </w:r>
          </w:p>
        </w:tc>
        <w:tc>
          <w:tcPr>
            <w:tcW w:w="2880" w:type="dxa"/>
          </w:tcPr>
          <w:p w14:paraId="06712ACE" w14:textId="6C07A17C" w:rsidR="00214F06" w:rsidRPr="00D8261F" w:rsidRDefault="00214F06" w:rsidP="00DC3F75">
            <w:pPr>
              <w:pStyle w:val="ListParagraph"/>
              <w:numPr>
                <w:ilvl w:val="0"/>
                <w:numId w:val="9"/>
              </w:numPr>
              <w:ind w:left="206" w:hanging="206"/>
              <w:rPr>
                <w:rFonts w:ascii="Times New Roman" w:hAnsi="Times New Roman" w:cs="Times New Roman"/>
                <w:bCs/>
                <w:sz w:val="20"/>
                <w:szCs w:val="20"/>
              </w:rPr>
            </w:pPr>
            <w:r w:rsidRPr="00D8261F">
              <w:rPr>
                <w:rFonts w:ascii="Times New Roman" w:hAnsi="Times New Roman" w:cs="Times New Roman"/>
                <w:bCs/>
                <w:sz w:val="20"/>
                <w:szCs w:val="20"/>
              </w:rPr>
              <w:t>Manufacturer issues the recall voluntarily</w:t>
            </w:r>
            <w:r w:rsidR="00EC3B9A" w:rsidRPr="00D8261F">
              <w:rPr>
                <w:rFonts w:ascii="Times New Roman" w:hAnsi="Times New Roman" w:cs="Times New Roman"/>
                <w:bCs/>
                <w:sz w:val="20"/>
                <w:szCs w:val="20"/>
              </w:rPr>
              <w:t>.</w:t>
            </w:r>
          </w:p>
          <w:p w14:paraId="2A8BC243" w14:textId="79185FBF" w:rsidR="00214F06" w:rsidRPr="00D8261F" w:rsidRDefault="00214F06" w:rsidP="00DC3F75">
            <w:pPr>
              <w:pStyle w:val="ListParagraph"/>
              <w:numPr>
                <w:ilvl w:val="0"/>
                <w:numId w:val="9"/>
              </w:numPr>
              <w:ind w:left="206" w:hanging="206"/>
              <w:rPr>
                <w:rFonts w:ascii="Times New Roman" w:hAnsi="Times New Roman" w:cs="Times New Roman"/>
                <w:bCs/>
                <w:sz w:val="20"/>
                <w:szCs w:val="20"/>
              </w:rPr>
            </w:pPr>
            <w:r w:rsidRPr="00D8261F">
              <w:rPr>
                <w:rFonts w:ascii="Times New Roman" w:hAnsi="Times New Roman" w:cs="Times New Roman"/>
                <w:bCs/>
                <w:sz w:val="20"/>
                <w:szCs w:val="20"/>
              </w:rPr>
              <w:t>THE DVSA can compel the manufacturer to issue the recall</w:t>
            </w:r>
            <w:r w:rsidR="00EC3B9A" w:rsidRPr="00D8261F">
              <w:rPr>
                <w:rFonts w:ascii="Times New Roman" w:hAnsi="Times New Roman" w:cs="Times New Roman"/>
                <w:bCs/>
                <w:sz w:val="20"/>
                <w:szCs w:val="20"/>
              </w:rPr>
              <w:t>.</w:t>
            </w:r>
            <w:r w:rsidRPr="00D8261F">
              <w:rPr>
                <w:rFonts w:ascii="Times New Roman" w:hAnsi="Times New Roman" w:cs="Times New Roman"/>
                <w:bCs/>
                <w:sz w:val="20"/>
                <w:szCs w:val="20"/>
              </w:rPr>
              <w:t xml:space="preserve"> </w:t>
            </w:r>
          </w:p>
          <w:p w14:paraId="4A1897AB" w14:textId="21779083" w:rsidR="00214F06" w:rsidRPr="00D8261F" w:rsidRDefault="00214F06" w:rsidP="00DC3F75">
            <w:pPr>
              <w:pStyle w:val="ListParagraph"/>
              <w:numPr>
                <w:ilvl w:val="0"/>
                <w:numId w:val="9"/>
              </w:numPr>
              <w:ind w:left="206" w:hanging="206"/>
              <w:rPr>
                <w:rFonts w:ascii="Times New Roman" w:hAnsi="Times New Roman" w:cs="Times New Roman"/>
                <w:bCs/>
                <w:sz w:val="20"/>
                <w:szCs w:val="20"/>
              </w:rPr>
            </w:pPr>
            <w:r w:rsidRPr="00D8261F">
              <w:rPr>
                <w:rFonts w:ascii="Times New Roman" w:hAnsi="Times New Roman" w:cs="Times New Roman"/>
                <w:bCs/>
                <w:sz w:val="20"/>
                <w:szCs w:val="20"/>
              </w:rPr>
              <w:t>There are two recall levels:</w:t>
            </w:r>
            <w:r w:rsidR="00507099" w:rsidRPr="00D8261F">
              <w:rPr>
                <w:rFonts w:ascii="Times New Roman" w:hAnsi="Times New Roman" w:cs="Times New Roman"/>
                <w:bCs/>
                <w:sz w:val="20"/>
                <w:szCs w:val="20"/>
              </w:rPr>
              <w:t xml:space="preserve"> (1) </w:t>
            </w:r>
            <w:r w:rsidRPr="00D8261F">
              <w:rPr>
                <w:rFonts w:ascii="Times New Roman" w:hAnsi="Times New Roman" w:cs="Times New Roman"/>
                <w:bCs/>
                <w:sz w:val="20"/>
                <w:szCs w:val="20"/>
              </w:rPr>
              <w:t>Safety recall, this is for issues that do not render the vehicle inoperable or too dangerous to drive</w:t>
            </w:r>
            <w:r w:rsidR="00507099" w:rsidRPr="00D8261F">
              <w:rPr>
                <w:rFonts w:ascii="Times New Roman" w:hAnsi="Times New Roman" w:cs="Times New Roman"/>
                <w:bCs/>
                <w:sz w:val="20"/>
                <w:szCs w:val="20"/>
              </w:rPr>
              <w:t xml:space="preserve">; (2) </w:t>
            </w:r>
            <w:r w:rsidRPr="00D8261F">
              <w:rPr>
                <w:rFonts w:ascii="Times New Roman" w:hAnsi="Times New Roman" w:cs="Times New Roman"/>
                <w:bCs/>
                <w:sz w:val="20"/>
                <w:szCs w:val="20"/>
              </w:rPr>
              <w:t>Stop Drive Recall, far more serious than a safety recall, vehicle should not be driven until the issue is rectified</w:t>
            </w:r>
            <w:r w:rsidR="00EC3B9A" w:rsidRPr="00D8261F">
              <w:rPr>
                <w:rFonts w:ascii="Times New Roman" w:hAnsi="Times New Roman" w:cs="Times New Roman"/>
                <w:bCs/>
                <w:sz w:val="20"/>
                <w:szCs w:val="20"/>
              </w:rPr>
              <w:t>.</w:t>
            </w:r>
          </w:p>
        </w:tc>
        <w:tc>
          <w:tcPr>
            <w:tcW w:w="2970" w:type="dxa"/>
          </w:tcPr>
          <w:p w14:paraId="6F4EF0CD" w14:textId="239FA77A" w:rsidR="00214F06" w:rsidRPr="00D8261F" w:rsidRDefault="0097594E" w:rsidP="00DC3F75">
            <w:pPr>
              <w:pStyle w:val="ListParagraph"/>
              <w:numPr>
                <w:ilvl w:val="0"/>
                <w:numId w:val="9"/>
              </w:numPr>
              <w:ind w:left="206" w:hanging="206"/>
              <w:rPr>
                <w:rFonts w:ascii="Times New Roman" w:hAnsi="Times New Roman" w:cs="Times New Roman"/>
                <w:bCs/>
                <w:sz w:val="20"/>
                <w:szCs w:val="20"/>
              </w:rPr>
            </w:pPr>
            <w:r w:rsidRPr="00D8261F">
              <w:rPr>
                <w:rFonts w:ascii="Times New Roman" w:hAnsi="Times New Roman" w:cs="Times New Roman"/>
                <w:bCs/>
                <w:sz w:val="20"/>
                <w:szCs w:val="20"/>
              </w:rPr>
              <w:t xml:space="preserve">KBA compels the </w:t>
            </w:r>
            <w:r w:rsidR="007A36E8" w:rsidRPr="00D8261F">
              <w:rPr>
                <w:rFonts w:ascii="Times New Roman" w:hAnsi="Times New Roman" w:cs="Times New Roman"/>
                <w:bCs/>
                <w:sz w:val="20"/>
                <w:szCs w:val="20"/>
              </w:rPr>
              <w:t>manufacturer to issue the recall</w:t>
            </w:r>
            <w:r w:rsidR="00EC3B9A" w:rsidRPr="00D8261F">
              <w:rPr>
                <w:rFonts w:ascii="Times New Roman" w:hAnsi="Times New Roman" w:cs="Times New Roman"/>
                <w:bCs/>
                <w:sz w:val="20"/>
                <w:szCs w:val="20"/>
              </w:rPr>
              <w:t>.</w:t>
            </w:r>
          </w:p>
          <w:p w14:paraId="4B60A318" w14:textId="47A37F7B" w:rsidR="007A36E8" w:rsidRPr="00D8261F" w:rsidRDefault="007A36E8" w:rsidP="00DC3F75">
            <w:pPr>
              <w:pStyle w:val="ListParagraph"/>
              <w:numPr>
                <w:ilvl w:val="0"/>
                <w:numId w:val="9"/>
              </w:numPr>
              <w:ind w:left="206" w:hanging="206"/>
              <w:rPr>
                <w:rFonts w:ascii="Times New Roman" w:hAnsi="Times New Roman" w:cs="Times New Roman"/>
                <w:bCs/>
                <w:sz w:val="20"/>
                <w:szCs w:val="20"/>
              </w:rPr>
            </w:pPr>
            <w:r w:rsidRPr="00D8261F">
              <w:rPr>
                <w:rFonts w:ascii="Times New Roman" w:hAnsi="Times New Roman" w:cs="Times New Roman"/>
                <w:bCs/>
                <w:sz w:val="20"/>
                <w:szCs w:val="20"/>
              </w:rPr>
              <w:t>The KBA is obligated to compel the recall if it feels that the flaw is widespread</w:t>
            </w:r>
            <w:r w:rsidR="00EC3B9A" w:rsidRPr="00D8261F">
              <w:rPr>
                <w:rFonts w:ascii="Times New Roman" w:hAnsi="Times New Roman" w:cs="Times New Roman"/>
                <w:bCs/>
                <w:sz w:val="20"/>
                <w:szCs w:val="20"/>
              </w:rPr>
              <w:t>.</w:t>
            </w:r>
          </w:p>
          <w:p w14:paraId="582C7BD9" w14:textId="2E8847BF" w:rsidR="007A36E8" w:rsidRPr="00D8261F" w:rsidRDefault="007A36E8" w:rsidP="00DC3F75">
            <w:pPr>
              <w:pStyle w:val="ListParagraph"/>
              <w:numPr>
                <w:ilvl w:val="0"/>
                <w:numId w:val="9"/>
              </w:numPr>
              <w:ind w:left="206" w:hanging="206"/>
              <w:rPr>
                <w:rFonts w:ascii="Times New Roman" w:hAnsi="Times New Roman" w:cs="Times New Roman"/>
                <w:bCs/>
                <w:sz w:val="20"/>
                <w:szCs w:val="20"/>
              </w:rPr>
            </w:pPr>
            <w:r w:rsidRPr="00D8261F">
              <w:rPr>
                <w:rFonts w:ascii="Times New Roman" w:hAnsi="Times New Roman" w:cs="Times New Roman"/>
                <w:bCs/>
                <w:sz w:val="20"/>
                <w:szCs w:val="20"/>
              </w:rPr>
              <w:t>Consumers are notified via a Central Vehicle Register</w:t>
            </w:r>
            <w:r w:rsidR="00EC3B9A" w:rsidRPr="00D8261F">
              <w:rPr>
                <w:rFonts w:ascii="Times New Roman" w:hAnsi="Times New Roman" w:cs="Times New Roman"/>
                <w:bCs/>
                <w:sz w:val="20"/>
                <w:szCs w:val="20"/>
              </w:rPr>
              <w:t>.</w:t>
            </w:r>
          </w:p>
          <w:p w14:paraId="1DED9306" w14:textId="02EFBF72" w:rsidR="007A36E8" w:rsidRPr="00D8261F" w:rsidRDefault="007A36E8" w:rsidP="00DC3F75">
            <w:pPr>
              <w:pStyle w:val="ListParagraph"/>
              <w:numPr>
                <w:ilvl w:val="0"/>
                <w:numId w:val="9"/>
              </w:numPr>
              <w:ind w:left="206" w:hanging="206"/>
              <w:rPr>
                <w:rFonts w:ascii="Times New Roman" w:hAnsi="Times New Roman" w:cs="Times New Roman"/>
                <w:bCs/>
                <w:sz w:val="20"/>
                <w:szCs w:val="20"/>
              </w:rPr>
            </w:pPr>
            <w:r w:rsidRPr="00D8261F">
              <w:rPr>
                <w:rFonts w:ascii="Times New Roman" w:hAnsi="Times New Roman" w:cs="Times New Roman"/>
                <w:bCs/>
                <w:sz w:val="20"/>
                <w:szCs w:val="20"/>
              </w:rPr>
              <w:t>Vehicle must be repaired free of charge at a specialist shop</w:t>
            </w:r>
            <w:r w:rsidR="00EC3B9A" w:rsidRPr="00D8261F">
              <w:rPr>
                <w:rFonts w:ascii="Times New Roman" w:hAnsi="Times New Roman" w:cs="Times New Roman"/>
                <w:bCs/>
                <w:sz w:val="20"/>
                <w:szCs w:val="20"/>
              </w:rPr>
              <w:t>.</w:t>
            </w:r>
            <w:r w:rsidRPr="00D8261F">
              <w:rPr>
                <w:rFonts w:ascii="Times New Roman" w:hAnsi="Times New Roman" w:cs="Times New Roman"/>
                <w:bCs/>
                <w:sz w:val="20"/>
                <w:szCs w:val="20"/>
              </w:rPr>
              <w:t xml:space="preserve"> </w:t>
            </w:r>
          </w:p>
        </w:tc>
        <w:tc>
          <w:tcPr>
            <w:tcW w:w="2880" w:type="dxa"/>
          </w:tcPr>
          <w:p w14:paraId="5462D6C8" w14:textId="4BE9ABEC" w:rsidR="002116E0" w:rsidRPr="00D8261F" w:rsidRDefault="002116E0" w:rsidP="00DC3F75">
            <w:pPr>
              <w:pStyle w:val="ListParagraph"/>
              <w:numPr>
                <w:ilvl w:val="0"/>
                <w:numId w:val="9"/>
              </w:numPr>
              <w:ind w:left="206" w:hanging="206"/>
              <w:rPr>
                <w:rFonts w:ascii="Times New Roman" w:hAnsi="Times New Roman" w:cs="Times New Roman"/>
                <w:bCs/>
                <w:sz w:val="20"/>
                <w:szCs w:val="20"/>
              </w:rPr>
            </w:pPr>
            <w:r w:rsidRPr="00D8261F">
              <w:rPr>
                <w:rFonts w:ascii="Times New Roman" w:hAnsi="Times New Roman" w:cs="Times New Roman"/>
                <w:bCs/>
                <w:sz w:val="20"/>
                <w:szCs w:val="20"/>
              </w:rPr>
              <w:t>Manufacturer issues the recall voluntarily (most recalls are voluntary)</w:t>
            </w:r>
            <w:r w:rsidR="00EC3B9A" w:rsidRPr="00D8261F">
              <w:rPr>
                <w:rFonts w:ascii="Times New Roman" w:hAnsi="Times New Roman" w:cs="Times New Roman"/>
                <w:bCs/>
                <w:sz w:val="20"/>
                <w:szCs w:val="20"/>
              </w:rPr>
              <w:t>.</w:t>
            </w:r>
          </w:p>
          <w:p w14:paraId="6ED69716" w14:textId="27148FBC" w:rsidR="002116E0" w:rsidRPr="00D8261F" w:rsidRDefault="002116E0" w:rsidP="00DC3F75">
            <w:pPr>
              <w:pStyle w:val="ListParagraph"/>
              <w:numPr>
                <w:ilvl w:val="0"/>
                <w:numId w:val="9"/>
              </w:numPr>
              <w:ind w:left="206" w:hanging="206"/>
              <w:rPr>
                <w:rFonts w:ascii="Times New Roman" w:hAnsi="Times New Roman" w:cs="Times New Roman"/>
                <w:bCs/>
                <w:sz w:val="20"/>
                <w:szCs w:val="20"/>
              </w:rPr>
            </w:pPr>
            <w:r w:rsidRPr="00D8261F">
              <w:rPr>
                <w:rFonts w:ascii="Times New Roman" w:hAnsi="Times New Roman" w:cs="Times New Roman"/>
                <w:bCs/>
                <w:sz w:val="20"/>
                <w:szCs w:val="20"/>
              </w:rPr>
              <w:t>The DITRDA can compel the manufacturer to issue the recall</w:t>
            </w:r>
            <w:r w:rsidR="00EC3B9A" w:rsidRPr="00D8261F">
              <w:rPr>
                <w:rFonts w:ascii="Times New Roman" w:hAnsi="Times New Roman" w:cs="Times New Roman"/>
                <w:bCs/>
                <w:sz w:val="20"/>
                <w:szCs w:val="20"/>
              </w:rPr>
              <w:t>.</w:t>
            </w:r>
          </w:p>
          <w:p w14:paraId="2FC34E0F" w14:textId="46127399" w:rsidR="00214F06" w:rsidRPr="00D8261F" w:rsidRDefault="002116E0" w:rsidP="00DC3F75">
            <w:pPr>
              <w:pStyle w:val="ListParagraph"/>
              <w:numPr>
                <w:ilvl w:val="0"/>
                <w:numId w:val="9"/>
              </w:numPr>
              <w:ind w:left="206" w:hanging="206"/>
              <w:rPr>
                <w:rFonts w:ascii="Times New Roman" w:hAnsi="Times New Roman" w:cs="Times New Roman"/>
                <w:bCs/>
              </w:rPr>
            </w:pPr>
            <w:r w:rsidRPr="00D8261F">
              <w:rPr>
                <w:rFonts w:ascii="Times New Roman" w:hAnsi="Times New Roman" w:cs="Times New Roman"/>
                <w:bCs/>
                <w:sz w:val="20"/>
                <w:szCs w:val="20"/>
              </w:rPr>
              <w:t>Consumers are notified that their vehicle is under recall and the vehicle will be fixed free of charge</w:t>
            </w:r>
            <w:r w:rsidR="00EC3B9A" w:rsidRPr="00D8261F">
              <w:rPr>
                <w:rFonts w:ascii="Times New Roman" w:hAnsi="Times New Roman" w:cs="Times New Roman"/>
                <w:bCs/>
                <w:sz w:val="20"/>
                <w:szCs w:val="20"/>
              </w:rPr>
              <w:t>.</w:t>
            </w:r>
          </w:p>
        </w:tc>
      </w:tr>
      <w:tr w:rsidR="00214F06" w:rsidRPr="002D6A77" w14:paraId="36036CB4" w14:textId="72965450" w:rsidTr="00540D8E">
        <w:tc>
          <w:tcPr>
            <w:tcW w:w="1525" w:type="dxa"/>
          </w:tcPr>
          <w:p w14:paraId="2C13713B" w14:textId="433D9193" w:rsidR="00214F06" w:rsidRPr="00F276E7" w:rsidRDefault="00214F06" w:rsidP="00867631">
            <w:pPr>
              <w:jc w:val="center"/>
              <w:rPr>
                <w:b/>
                <w:sz w:val="22"/>
                <w:szCs w:val="22"/>
              </w:rPr>
            </w:pPr>
            <w:r w:rsidRPr="00F276E7">
              <w:rPr>
                <w:b/>
                <w:sz w:val="22"/>
                <w:szCs w:val="22"/>
              </w:rPr>
              <w:lastRenderedPageBreak/>
              <w:t>Post Recall</w:t>
            </w:r>
          </w:p>
        </w:tc>
        <w:tc>
          <w:tcPr>
            <w:tcW w:w="2880" w:type="dxa"/>
          </w:tcPr>
          <w:p w14:paraId="39748C87" w14:textId="56585104" w:rsidR="00A93922" w:rsidRPr="00D8261F" w:rsidRDefault="00A93922" w:rsidP="00DC3F75">
            <w:pPr>
              <w:pStyle w:val="ListParagraph"/>
              <w:numPr>
                <w:ilvl w:val="0"/>
                <w:numId w:val="9"/>
              </w:numPr>
              <w:ind w:left="206" w:hanging="206"/>
              <w:rPr>
                <w:rFonts w:ascii="Times New Roman" w:hAnsi="Times New Roman" w:cs="Times New Roman"/>
                <w:bCs/>
                <w:sz w:val="20"/>
                <w:szCs w:val="20"/>
              </w:rPr>
            </w:pPr>
            <w:r w:rsidRPr="00D8261F">
              <w:rPr>
                <w:rFonts w:ascii="Times New Roman" w:hAnsi="Times New Roman" w:cs="Times New Roman"/>
                <w:bCs/>
                <w:sz w:val="20"/>
                <w:szCs w:val="20"/>
              </w:rPr>
              <w:t xml:space="preserve">Consumers are not compelled to have their </w:t>
            </w:r>
            <w:r w:rsidR="00EC3B9A" w:rsidRPr="00D8261F">
              <w:rPr>
                <w:rFonts w:ascii="Times New Roman" w:hAnsi="Times New Roman" w:cs="Times New Roman"/>
                <w:bCs/>
                <w:sz w:val="20"/>
                <w:szCs w:val="20"/>
              </w:rPr>
              <w:t xml:space="preserve">recalled </w:t>
            </w:r>
            <w:r w:rsidRPr="00D8261F">
              <w:rPr>
                <w:rFonts w:ascii="Times New Roman" w:hAnsi="Times New Roman" w:cs="Times New Roman"/>
                <w:bCs/>
                <w:sz w:val="20"/>
                <w:szCs w:val="20"/>
              </w:rPr>
              <w:t>car</w:t>
            </w:r>
            <w:r w:rsidR="00EC3B9A" w:rsidRPr="00D8261F">
              <w:rPr>
                <w:rFonts w:ascii="Times New Roman" w:hAnsi="Times New Roman" w:cs="Times New Roman"/>
                <w:bCs/>
                <w:sz w:val="20"/>
                <w:szCs w:val="20"/>
              </w:rPr>
              <w:t>s</w:t>
            </w:r>
            <w:r w:rsidRPr="00D8261F">
              <w:rPr>
                <w:rFonts w:ascii="Times New Roman" w:hAnsi="Times New Roman" w:cs="Times New Roman"/>
                <w:bCs/>
                <w:sz w:val="20"/>
                <w:szCs w:val="20"/>
              </w:rPr>
              <w:t xml:space="preserve"> fixed</w:t>
            </w:r>
            <w:r w:rsidR="00EC3B9A" w:rsidRPr="00D8261F">
              <w:rPr>
                <w:rFonts w:ascii="Times New Roman" w:hAnsi="Times New Roman" w:cs="Times New Roman"/>
                <w:bCs/>
                <w:sz w:val="20"/>
                <w:szCs w:val="20"/>
              </w:rPr>
              <w:t>.</w:t>
            </w:r>
          </w:p>
          <w:p w14:paraId="406BC46D" w14:textId="6B4D355D" w:rsidR="00214F06" w:rsidRPr="00D8261F" w:rsidRDefault="00214F06" w:rsidP="00DC3F75">
            <w:pPr>
              <w:pStyle w:val="ListParagraph"/>
              <w:numPr>
                <w:ilvl w:val="0"/>
                <w:numId w:val="9"/>
              </w:numPr>
              <w:ind w:left="206" w:hanging="206"/>
              <w:rPr>
                <w:rFonts w:ascii="Times New Roman" w:hAnsi="Times New Roman" w:cs="Times New Roman"/>
                <w:bCs/>
                <w:sz w:val="20"/>
                <w:szCs w:val="20"/>
              </w:rPr>
            </w:pPr>
            <w:r w:rsidRPr="00D8261F">
              <w:rPr>
                <w:rFonts w:ascii="Times New Roman" w:hAnsi="Times New Roman" w:cs="Times New Roman"/>
                <w:bCs/>
                <w:sz w:val="20"/>
                <w:szCs w:val="20"/>
              </w:rPr>
              <w:t>A manufacturer can be fined up to $22,000 for each violation and up to $111 million total for a series of related violations</w:t>
            </w:r>
            <w:r w:rsidR="00EC3B9A" w:rsidRPr="00D8261F">
              <w:rPr>
                <w:rFonts w:ascii="Times New Roman" w:hAnsi="Times New Roman" w:cs="Times New Roman"/>
                <w:bCs/>
                <w:sz w:val="20"/>
                <w:szCs w:val="20"/>
              </w:rPr>
              <w:t>.</w:t>
            </w:r>
          </w:p>
          <w:p w14:paraId="01897D24" w14:textId="24574CEC" w:rsidR="004D636A" w:rsidRPr="00D8261F" w:rsidRDefault="00214F06" w:rsidP="00DC3F75">
            <w:pPr>
              <w:pStyle w:val="ListParagraph"/>
              <w:numPr>
                <w:ilvl w:val="0"/>
                <w:numId w:val="9"/>
              </w:numPr>
              <w:ind w:left="206" w:hanging="206"/>
              <w:rPr>
                <w:rFonts w:ascii="Times New Roman" w:hAnsi="Times New Roman" w:cs="Times New Roman"/>
                <w:bCs/>
                <w:sz w:val="20"/>
                <w:szCs w:val="20"/>
              </w:rPr>
            </w:pPr>
            <w:r w:rsidRPr="00D8261F">
              <w:rPr>
                <w:rFonts w:ascii="Times New Roman" w:hAnsi="Times New Roman" w:cs="Times New Roman"/>
                <w:bCs/>
                <w:sz w:val="20"/>
                <w:szCs w:val="20"/>
              </w:rPr>
              <w:t>Manufacturers can face class-action lawsuits if they are found to have been negligent or misleading in issuing the recall</w:t>
            </w:r>
            <w:r w:rsidR="00EC3B9A" w:rsidRPr="00D8261F">
              <w:rPr>
                <w:rFonts w:ascii="Times New Roman" w:hAnsi="Times New Roman" w:cs="Times New Roman"/>
                <w:bCs/>
                <w:sz w:val="20"/>
                <w:szCs w:val="20"/>
              </w:rPr>
              <w:t>.</w:t>
            </w:r>
          </w:p>
          <w:p w14:paraId="00EBAA7F" w14:textId="42902153" w:rsidR="00214F06" w:rsidRPr="00D8261F" w:rsidRDefault="004D636A" w:rsidP="00DC3F75">
            <w:pPr>
              <w:pStyle w:val="ListParagraph"/>
              <w:numPr>
                <w:ilvl w:val="0"/>
                <w:numId w:val="9"/>
              </w:numPr>
              <w:ind w:left="206" w:hanging="206"/>
              <w:rPr>
                <w:rFonts w:ascii="Times New Roman" w:hAnsi="Times New Roman" w:cs="Times New Roman"/>
                <w:bCs/>
                <w:sz w:val="20"/>
                <w:szCs w:val="20"/>
              </w:rPr>
            </w:pPr>
            <w:r w:rsidRPr="00D8261F">
              <w:rPr>
                <w:rFonts w:ascii="Times New Roman" w:hAnsi="Times New Roman" w:cs="Times New Roman"/>
                <w:bCs/>
                <w:sz w:val="20"/>
                <w:szCs w:val="20"/>
              </w:rPr>
              <w:t>The largest settlement was a $1.1 billion settlement in 2017 that resolved claims that Toyota knew about a defect in its accelerator pedals that could cause unintended acceleration</w:t>
            </w:r>
            <w:r w:rsidR="00EC3B9A" w:rsidRPr="00D8261F">
              <w:rPr>
                <w:rFonts w:ascii="Times New Roman" w:hAnsi="Times New Roman" w:cs="Times New Roman"/>
                <w:bCs/>
                <w:sz w:val="20"/>
                <w:szCs w:val="20"/>
              </w:rPr>
              <w:t>. T</w:t>
            </w:r>
            <w:r w:rsidRPr="00D8261F">
              <w:rPr>
                <w:rFonts w:ascii="Times New Roman" w:hAnsi="Times New Roman" w:cs="Times New Roman"/>
                <w:bCs/>
                <w:sz w:val="20"/>
                <w:szCs w:val="20"/>
              </w:rPr>
              <w:t>he settlement covered owners of 2.3 million Toyota and Lexus vehicles</w:t>
            </w:r>
            <w:r w:rsidR="00EC3B9A" w:rsidRPr="00D8261F">
              <w:rPr>
                <w:rFonts w:ascii="Times New Roman" w:hAnsi="Times New Roman" w:cs="Times New Roman"/>
                <w:bCs/>
                <w:sz w:val="20"/>
                <w:szCs w:val="20"/>
              </w:rPr>
              <w:t>.</w:t>
            </w:r>
          </w:p>
        </w:tc>
        <w:tc>
          <w:tcPr>
            <w:tcW w:w="2880" w:type="dxa"/>
          </w:tcPr>
          <w:p w14:paraId="3C571456" w14:textId="597E62BB" w:rsidR="00214F06" w:rsidRPr="00D8261F" w:rsidRDefault="00214F06" w:rsidP="00DC3F75">
            <w:pPr>
              <w:pStyle w:val="ListParagraph"/>
              <w:numPr>
                <w:ilvl w:val="0"/>
                <w:numId w:val="9"/>
              </w:numPr>
              <w:ind w:left="206" w:hanging="206"/>
              <w:rPr>
                <w:rFonts w:ascii="Times New Roman" w:hAnsi="Times New Roman" w:cs="Times New Roman"/>
                <w:bCs/>
                <w:sz w:val="20"/>
                <w:szCs w:val="20"/>
              </w:rPr>
            </w:pPr>
            <w:r w:rsidRPr="00D8261F">
              <w:rPr>
                <w:rFonts w:ascii="Times New Roman" w:hAnsi="Times New Roman" w:cs="Times New Roman"/>
                <w:bCs/>
                <w:sz w:val="20"/>
                <w:szCs w:val="20"/>
              </w:rPr>
              <w:t>The manufacturer issues a recall notice to consumers</w:t>
            </w:r>
            <w:r w:rsidR="00EC3B9A" w:rsidRPr="00D8261F">
              <w:rPr>
                <w:rFonts w:ascii="Times New Roman" w:hAnsi="Times New Roman" w:cs="Times New Roman"/>
                <w:bCs/>
                <w:sz w:val="20"/>
                <w:szCs w:val="20"/>
              </w:rPr>
              <w:t>.</w:t>
            </w:r>
          </w:p>
          <w:p w14:paraId="1179D131" w14:textId="2E5B4DBD" w:rsidR="00214F06" w:rsidRPr="00D8261F" w:rsidRDefault="00214F06" w:rsidP="00DC3F75">
            <w:pPr>
              <w:pStyle w:val="ListParagraph"/>
              <w:numPr>
                <w:ilvl w:val="0"/>
                <w:numId w:val="9"/>
              </w:numPr>
              <w:ind w:left="206" w:hanging="206"/>
              <w:rPr>
                <w:rFonts w:ascii="Times New Roman" w:hAnsi="Times New Roman" w:cs="Times New Roman"/>
                <w:bCs/>
                <w:sz w:val="20"/>
                <w:szCs w:val="20"/>
              </w:rPr>
            </w:pPr>
            <w:r w:rsidRPr="00D8261F">
              <w:rPr>
                <w:rFonts w:ascii="Times New Roman" w:hAnsi="Times New Roman" w:cs="Times New Roman"/>
                <w:bCs/>
                <w:sz w:val="20"/>
                <w:szCs w:val="20"/>
              </w:rPr>
              <w:t>Under a Stop Drive Recall</w:t>
            </w:r>
            <w:r w:rsidR="00EC3B9A" w:rsidRPr="00D8261F">
              <w:rPr>
                <w:rFonts w:ascii="Times New Roman" w:hAnsi="Times New Roman" w:cs="Times New Roman"/>
                <w:bCs/>
                <w:sz w:val="20"/>
                <w:szCs w:val="20"/>
              </w:rPr>
              <w:t>,</w:t>
            </w:r>
            <w:r w:rsidRPr="00D8261F">
              <w:rPr>
                <w:rFonts w:ascii="Times New Roman" w:hAnsi="Times New Roman" w:cs="Times New Roman"/>
                <w:bCs/>
                <w:sz w:val="20"/>
                <w:szCs w:val="20"/>
              </w:rPr>
              <w:t xml:space="preserve"> drivers that do not have their cars repaired can be fined up to 2,500 pounds, be banned from driving, and </w:t>
            </w:r>
            <w:r w:rsidR="00EC3B9A" w:rsidRPr="00D8261F">
              <w:rPr>
                <w:rFonts w:ascii="Times New Roman" w:hAnsi="Times New Roman" w:cs="Times New Roman"/>
                <w:bCs/>
                <w:sz w:val="20"/>
                <w:szCs w:val="20"/>
              </w:rPr>
              <w:t>receive three</w:t>
            </w:r>
            <w:r w:rsidRPr="00D8261F">
              <w:rPr>
                <w:rFonts w:ascii="Times New Roman" w:hAnsi="Times New Roman" w:cs="Times New Roman"/>
                <w:bCs/>
                <w:sz w:val="20"/>
                <w:szCs w:val="20"/>
              </w:rPr>
              <w:t xml:space="preserve"> penalty points. Vehicles can also be impounded.</w:t>
            </w:r>
          </w:p>
          <w:p w14:paraId="219E6D70" w14:textId="7FC21B4E" w:rsidR="00205DEA" w:rsidRPr="00D8261F" w:rsidRDefault="00214F06" w:rsidP="00DC3F75">
            <w:pPr>
              <w:pStyle w:val="ListParagraph"/>
              <w:numPr>
                <w:ilvl w:val="0"/>
                <w:numId w:val="9"/>
              </w:numPr>
              <w:ind w:left="206" w:hanging="206"/>
              <w:rPr>
                <w:rFonts w:ascii="Times New Roman" w:hAnsi="Times New Roman" w:cs="Times New Roman"/>
                <w:bCs/>
                <w:sz w:val="20"/>
                <w:szCs w:val="20"/>
              </w:rPr>
            </w:pPr>
            <w:r w:rsidRPr="00D8261F">
              <w:rPr>
                <w:rFonts w:ascii="Times New Roman" w:hAnsi="Times New Roman" w:cs="Times New Roman"/>
                <w:bCs/>
                <w:sz w:val="20"/>
                <w:szCs w:val="20"/>
              </w:rPr>
              <w:t>Manufacturers can face an unlimited fine</w:t>
            </w:r>
            <w:r w:rsidR="00EC3B9A" w:rsidRPr="00D8261F">
              <w:rPr>
                <w:rFonts w:ascii="Times New Roman" w:hAnsi="Times New Roman" w:cs="Times New Roman"/>
                <w:bCs/>
                <w:sz w:val="20"/>
                <w:szCs w:val="20"/>
              </w:rPr>
              <w:t>.</w:t>
            </w:r>
            <w:r w:rsidRPr="00D8261F">
              <w:rPr>
                <w:rFonts w:ascii="Times New Roman" w:hAnsi="Times New Roman" w:cs="Times New Roman"/>
                <w:bCs/>
                <w:sz w:val="20"/>
                <w:szCs w:val="20"/>
              </w:rPr>
              <w:t xml:space="preserve"> </w:t>
            </w:r>
          </w:p>
          <w:p w14:paraId="6BF8773E" w14:textId="7948CD9C" w:rsidR="00214F06" w:rsidRPr="00D8261F" w:rsidRDefault="00205DEA" w:rsidP="00DC3F75">
            <w:pPr>
              <w:pStyle w:val="ListParagraph"/>
              <w:numPr>
                <w:ilvl w:val="0"/>
                <w:numId w:val="9"/>
              </w:numPr>
              <w:ind w:left="206" w:hanging="206"/>
              <w:rPr>
                <w:rFonts w:ascii="Times New Roman" w:hAnsi="Times New Roman" w:cs="Times New Roman"/>
                <w:bCs/>
                <w:sz w:val="20"/>
                <w:szCs w:val="20"/>
              </w:rPr>
            </w:pPr>
            <w:r w:rsidRPr="00D8261F">
              <w:rPr>
                <w:rFonts w:ascii="Times New Roman" w:hAnsi="Times New Roman" w:cs="Times New Roman"/>
                <w:bCs/>
                <w:sz w:val="20"/>
                <w:szCs w:val="20"/>
              </w:rPr>
              <w:t xml:space="preserve">The most an automobile manufacturer was fined in the UK for a car recall was £10 million. </w:t>
            </w:r>
            <w:r w:rsidR="00EC3B9A" w:rsidRPr="00D8261F">
              <w:rPr>
                <w:rFonts w:ascii="Times New Roman" w:hAnsi="Times New Roman" w:cs="Times New Roman"/>
                <w:bCs/>
                <w:sz w:val="20"/>
                <w:szCs w:val="20"/>
              </w:rPr>
              <w:t>T</w:t>
            </w:r>
            <w:r w:rsidRPr="00D8261F">
              <w:rPr>
                <w:rFonts w:ascii="Times New Roman" w:hAnsi="Times New Roman" w:cs="Times New Roman"/>
                <w:bCs/>
                <w:sz w:val="20"/>
                <w:szCs w:val="20"/>
              </w:rPr>
              <w:t>his fine was imposed on General Motors in 2014 for a recall that affected over 1.2 million cars in the UK</w:t>
            </w:r>
            <w:r w:rsidR="00EC3B9A" w:rsidRPr="00D8261F">
              <w:rPr>
                <w:rFonts w:ascii="Times New Roman" w:hAnsi="Times New Roman" w:cs="Times New Roman"/>
                <w:bCs/>
                <w:sz w:val="20"/>
                <w:szCs w:val="20"/>
              </w:rPr>
              <w:t>.</w:t>
            </w:r>
            <w:r w:rsidRPr="00D8261F" w:rsidDel="004D636A">
              <w:rPr>
                <w:rFonts w:ascii="Times New Roman" w:hAnsi="Times New Roman" w:cs="Times New Roman"/>
                <w:bCs/>
                <w:sz w:val="20"/>
                <w:szCs w:val="20"/>
              </w:rPr>
              <w:t xml:space="preserve"> </w:t>
            </w:r>
          </w:p>
        </w:tc>
        <w:tc>
          <w:tcPr>
            <w:tcW w:w="2970" w:type="dxa"/>
          </w:tcPr>
          <w:p w14:paraId="4A8E053F" w14:textId="436E6CE3" w:rsidR="00214F06" w:rsidRPr="00D8261F" w:rsidRDefault="007A36E8" w:rsidP="00DC3F75">
            <w:pPr>
              <w:pStyle w:val="ListParagraph"/>
              <w:numPr>
                <w:ilvl w:val="0"/>
                <w:numId w:val="9"/>
              </w:numPr>
              <w:ind w:left="206" w:hanging="206"/>
              <w:rPr>
                <w:rFonts w:ascii="Times New Roman" w:hAnsi="Times New Roman" w:cs="Times New Roman"/>
                <w:bCs/>
                <w:sz w:val="20"/>
                <w:szCs w:val="20"/>
              </w:rPr>
            </w:pPr>
            <w:r w:rsidRPr="00D8261F">
              <w:rPr>
                <w:rFonts w:ascii="Times New Roman" w:hAnsi="Times New Roman" w:cs="Times New Roman"/>
                <w:bCs/>
                <w:sz w:val="20"/>
                <w:szCs w:val="20"/>
              </w:rPr>
              <w:t>KBA monitors the recall process and can compel the manufacturer to issue the recall again</w:t>
            </w:r>
            <w:r w:rsidR="00EC3B9A" w:rsidRPr="00D8261F">
              <w:rPr>
                <w:rFonts w:ascii="Times New Roman" w:hAnsi="Times New Roman" w:cs="Times New Roman"/>
                <w:bCs/>
                <w:sz w:val="20"/>
                <w:szCs w:val="20"/>
              </w:rPr>
              <w:t>.</w:t>
            </w:r>
            <w:r w:rsidRPr="00D8261F">
              <w:rPr>
                <w:rFonts w:ascii="Times New Roman" w:hAnsi="Times New Roman" w:cs="Times New Roman"/>
                <w:bCs/>
                <w:sz w:val="20"/>
                <w:szCs w:val="20"/>
              </w:rPr>
              <w:t xml:space="preserve"> </w:t>
            </w:r>
          </w:p>
          <w:p w14:paraId="072633DC" w14:textId="549E82C2" w:rsidR="00EF468D" w:rsidRPr="00D8261F" w:rsidRDefault="00EF468D" w:rsidP="00DC3F75">
            <w:pPr>
              <w:pStyle w:val="ListParagraph"/>
              <w:numPr>
                <w:ilvl w:val="0"/>
                <w:numId w:val="9"/>
              </w:numPr>
              <w:ind w:left="206" w:hanging="206"/>
              <w:rPr>
                <w:rFonts w:ascii="Times New Roman" w:hAnsi="Times New Roman" w:cs="Times New Roman"/>
                <w:bCs/>
                <w:sz w:val="20"/>
                <w:szCs w:val="20"/>
              </w:rPr>
            </w:pPr>
            <w:r w:rsidRPr="00D8261F">
              <w:rPr>
                <w:rFonts w:ascii="Times New Roman" w:hAnsi="Times New Roman" w:cs="Times New Roman"/>
                <w:bCs/>
                <w:sz w:val="20"/>
                <w:szCs w:val="20"/>
              </w:rPr>
              <w:t>If vehicle owners do not comply with the recall, even after repeated requests, KBA informs the locally responsible registration authority, which can issue an operating ban and withdraw the vehicle</w:t>
            </w:r>
            <w:r w:rsidR="00EC3B9A" w:rsidRPr="00D8261F">
              <w:rPr>
                <w:rFonts w:ascii="Times New Roman" w:hAnsi="Times New Roman" w:cs="Times New Roman"/>
                <w:bCs/>
                <w:sz w:val="20"/>
                <w:szCs w:val="20"/>
              </w:rPr>
              <w:t>’</w:t>
            </w:r>
            <w:r w:rsidRPr="00D8261F">
              <w:rPr>
                <w:rFonts w:ascii="Times New Roman" w:hAnsi="Times New Roman" w:cs="Times New Roman"/>
                <w:bCs/>
                <w:sz w:val="20"/>
                <w:szCs w:val="20"/>
              </w:rPr>
              <w:t>s registratio</w:t>
            </w:r>
            <w:r w:rsidR="00507099" w:rsidRPr="00D8261F">
              <w:rPr>
                <w:rFonts w:ascii="Times New Roman" w:hAnsi="Times New Roman" w:cs="Times New Roman"/>
                <w:bCs/>
                <w:sz w:val="20"/>
                <w:szCs w:val="20"/>
              </w:rPr>
              <w:t xml:space="preserve">n. </w:t>
            </w:r>
          </w:p>
        </w:tc>
        <w:tc>
          <w:tcPr>
            <w:tcW w:w="2880" w:type="dxa"/>
          </w:tcPr>
          <w:p w14:paraId="20F8C797" w14:textId="7846DF31" w:rsidR="00A93922" w:rsidRPr="00D8261F" w:rsidRDefault="00A93922" w:rsidP="00DC3F75">
            <w:pPr>
              <w:pStyle w:val="ListParagraph"/>
              <w:numPr>
                <w:ilvl w:val="0"/>
                <w:numId w:val="9"/>
              </w:numPr>
              <w:ind w:left="206" w:hanging="206"/>
              <w:rPr>
                <w:rFonts w:ascii="Times New Roman" w:hAnsi="Times New Roman" w:cs="Times New Roman"/>
                <w:bCs/>
                <w:sz w:val="20"/>
                <w:szCs w:val="20"/>
              </w:rPr>
            </w:pPr>
            <w:r w:rsidRPr="00D8261F">
              <w:rPr>
                <w:rFonts w:ascii="Times New Roman" w:hAnsi="Times New Roman" w:cs="Times New Roman"/>
                <w:bCs/>
                <w:sz w:val="20"/>
                <w:szCs w:val="20"/>
              </w:rPr>
              <w:t xml:space="preserve">Consumers are not compelled to have their </w:t>
            </w:r>
            <w:r w:rsidR="00EC3B9A" w:rsidRPr="00D8261F">
              <w:rPr>
                <w:rFonts w:ascii="Times New Roman" w:hAnsi="Times New Roman" w:cs="Times New Roman"/>
                <w:bCs/>
                <w:sz w:val="20"/>
                <w:szCs w:val="20"/>
              </w:rPr>
              <w:t xml:space="preserve">recalled </w:t>
            </w:r>
            <w:r w:rsidRPr="00D8261F">
              <w:rPr>
                <w:rFonts w:ascii="Times New Roman" w:hAnsi="Times New Roman" w:cs="Times New Roman"/>
                <w:bCs/>
                <w:sz w:val="20"/>
                <w:szCs w:val="20"/>
              </w:rPr>
              <w:t>car</w:t>
            </w:r>
            <w:r w:rsidR="00EC3B9A" w:rsidRPr="00D8261F">
              <w:rPr>
                <w:rFonts w:ascii="Times New Roman" w:hAnsi="Times New Roman" w:cs="Times New Roman"/>
                <w:bCs/>
                <w:sz w:val="20"/>
                <w:szCs w:val="20"/>
              </w:rPr>
              <w:t>s</w:t>
            </w:r>
            <w:r w:rsidRPr="00D8261F">
              <w:rPr>
                <w:rFonts w:ascii="Times New Roman" w:hAnsi="Times New Roman" w:cs="Times New Roman"/>
                <w:bCs/>
                <w:sz w:val="20"/>
                <w:szCs w:val="20"/>
              </w:rPr>
              <w:t xml:space="preserve"> fixed</w:t>
            </w:r>
            <w:r w:rsidR="00EC3B9A" w:rsidRPr="00D8261F">
              <w:rPr>
                <w:rFonts w:ascii="Times New Roman" w:hAnsi="Times New Roman" w:cs="Times New Roman"/>
                <w:bCs/>
                <w:sz w:val="20"/>
                <w:szCs w:val="20"/>
              </w:rPr>
              <w:t>.</w:t>
            </w:r>
          </w:p>
          <w:p w14:paraId="59286D2A" w14:textId="28F6AD93" w:rsidR="00A93922" w:rsidRPr="00D8261F" w:rsidRDefault="00A93922" w:rsidP="00DC3F75">
            <w:pPr>
              <w:pStyle w:val="ListParagraph"/>
              <w:numPr>
                <w:ilvl w:val="0"/>
                <w:numId w:val="9"/>
              </w:numPr>
              <w:ind w:left="206" w:hanging="206"/>
              <w:rPr>
                <w:rFonts w:ascii="Times New Roman" w:hAnsi="Times New Roman" w:cs="Times New Roman"/>
                <w:bCs/>
                <w:sz w:val="20"/>
                <w:szCs w:val="20"/>
              </w:rPr>
            </w:pPr>
            <w:r w:rsidRPr="00D8261F">
              <w:rPr>
                <w:rFonts w:ascii="Times New Roman" w:hAnsi="Times New Roman" w:cs="Times New Roman"/>
                <w:bCs/>
                <w:sz w:val="20"/>
                <w:szCs w:val="20"/>
              </w:rPr>
              <w:t>Manufacturers can face class-action lawsuits if they are found to have been negligent or misleading in issuing the recall</w:t>
            </w:r>
            <w:r w:rsidR="00EC3B9A" w:rsidRPr="00D8261F">
              <w:rPr>
                <w:rFonts w:ascii="Times New Roman" w:hAnsi="Times New Roman" w:cs="Times New Roman"/>
                <w:bCs/>
                <w:sz w:val="20"/>
                <w:szCs w:val="20"/>
              </w:rPr>
              <w:t>.</w:t>
            </w:r>
          </w:p>
          <w:p w14:paraId="0C2D6A1E" w14:textId="246CF67C" w:rsidR="00214F06" w:rsidRPr="00D8261F" w:rsidRDefault="00A93922" w:rsidP="00DC3F75">
            <w:pPr>
              <w:pStyle w:val="ListParagraph"/>
              <w:numPr>
                <w:ilvl w:val="0"/>
                <w:numId w:val="9"/>
              </w:numPr>
              <w:ind w:left="206" w:hanging="206"/>
              <w:rPr>
                <w:rFonts w:ascii="Times New Roman" w:hAnsi="Times New Roman" w:cs="Times New Roman"/>
                <w:bCs/>
              </w:rPr>
            </w:pPr>
            <w:r w:rsidRPr="00D8261F">
              <w:rPr>
                <w:rFonts w:ascii="Times New Roman" w:hAnsi="Times New Roman" w:cs="Times New Roman"/>
                <w:bCs/>
                <w:sz w:val="20"/>
                <w:szCs w:val="20"/>
              </w:rPr>
              <w:t>The largest settlement was a $</w:t>
            </w:r>
            <w:r w:rsidR="0092301C" w:rsidRPr="00D8261F">
              <w:rPr>
                <w:rFonts w:ascii="Times New Roman" w:hAnsi="Times New Roman" w:cs="Times New Roman"/>
                <w:bCs/>
                <w:sz w:val="20"/>
                <w:szCs w:val="20"/>
              </w:rPr>
              <w:t>2</w:t>
            </w:r>
            <w:r w:rsidR="00B03595" w:rsidRPr="00D8261F">
              <w:rPr>
                <w:rFonts w:ascii="Times New Roman" w:hAnsi="Times New Roman" w:cs="Times New Roman"/>
                <w:bCs/>
                <w:sz w:val="20"/>
                <w:szCs w:val="20"/>
              </w:rPr>
              <w:t xml:space="preserve"> billion</w:t>
            </w:r>
            <w:r w:rsidR="0092301C" w:rsidRPr="00D8261F">
              <w:rPr>
                <w:rFonts w:ascii="Times New Roman" w:hAnsi="Times New Roman" w:cs="Times New Roman"/>
                <w:bCs/>
                <w:sz w:val="20"/>
                <w:szCs w:val="20"/>
              </w:rPr>
              <w:t xml:space="preserve"> (AUD) settlement from Toyota in 20</w:t>
            </w:r>
            <w:r w:rsidR="00B03595" w:rsidRPr="00D8261F">
              <w:rPr>
                <w:rFonts w:ascii="Times New Roman" w:hAnsi="Times New Roman" w:cs="Times New Roman"/>
                <w:bCs/>
                <w:sz w:val="20"/>
                <w:szCs w:val="20"/>
              </w:rPr>
              <w:t>16</w:t>
            </w:r>
            <w:r w:rsidR="00EC3B9A" w:rsidRPr="00D8261F">
              <w:rPr>
                <w:rFonts w:ascii="Times New Roman" w:hAnsi="Times New Roman" w:cs="Times New Roman"/>
                <w:bCs/>
                <w:sz w:val="20"/>
                <w:szCs w:val="20"/>
              </w:rPr>
              <w:t xml:space="preserve">. </w:t>
            </w:r>
          </w:p>
        </w:tc>
      </w:tr>
    </w:tbl>
    <w:p w14:paraId="36568A9B" w14:textId="3D2628DA" w:rsidR="001F011D" w:rsidRPr="00D8261F" w:rsidRDefault="00FE184C" w:rsidP="00FE184C">
      <w:pPr>
        <w:rPr>
          <w:bCs/>
          <w:sz w:val="20"/>
          <w:szCs w:val="20"/>
        </w:rPr>
      </w:pPr>
      <w:r w:rsidRPr="00D8261F">
        <w:rPr>
          <w:bCs/>
          <w:sz w:val="20"/>
          <w:szCs w:val="20"/>
        </w:rPr>
        <w:t xml:space="preserve">*Adapted from the National Highway Traffic Safety Administration, </w:t>
      </w:r>
      <w:hyperlink r:id="rId15" w:anchor="recalls" w:history="1">
        <w:r w:rsidRPr="00D8261F">
          <w:rPr>
            <w:rStyle w:val="Hyperlink"/>
            <w:bCs/>
            <w:sz w:val="20"/>
            <w:szCs w:val="20"/>
          </w:rPr>
          <w:t>https://www.nhtsa.gov/resources-investigations-recalls#recalls</w:t>
        </w:r>
      </w:hyperlink>
    </w:p>
    <w:p w14:paraId="24512468" w14:textId="3704FBF6" w:rsidR="00FE184C" w:rsidRPr="00D8261F" w:rsidRDefault="00FE184C" w:rsidP="00FE184C">
      <w:pPr>
        <w:rPr>
          <w:bCs/>
          <w:sz w:val="20"/>
          <w:szCs w:val="20"/>
        </w:rPr>
      </w:pPr>
      <w:r w:rsidRPr="00D8261F">
        <w:rPr>
          <w:bCs/>
          <w:sz w:val="20"/>
          <w:szCs w:val="20"/>
        </w:rPr>
        <w:t xml:space="preserve">** Adapted from the Driver and Vehicle Standards Agency, </w:t>
      </w:r>
      <w:hyperlink r:id="rId16" w:history="1">
        <w:r w:rsidRPr="00D8261F">
          <w:rPr>
            <w:rStyle w:val="Hyperlink"/>
            <w:bCs/>
            <w:sz w:val="20"/>
            <w:szCs w:val="20"/>
          </w:rPr>
          <w:t>https://www.assets.publishing.service.gov.uk</w:t>
        </w:r>
      </w:hyperlink>
    </w:p>
    <w:p w14:paraId="65821370" w14:textId="77EDE662" w:rsidR="00BF75E9" w:rsidRPr="00D8261F" w:rsidRDefault="00BF75E9" w:rsidP="00FE184C">
      <w:pPr>
        <w:rPr>
          <w:bCs/>
          <w:sz w:val="20"/>
          <w:szCs w:val="20"/>
        </w:rPr>
      </w:pPr>
      <w:r w:rsidRPr="00D8261F">
        <w:rPr>
          <w:bCs/>
          <w:sz w:val="20"/>
          <w:szCs w:val="20"/>
        </w:rPr>
        <w:t xml:space="preserve">*** Adapted from </w:t>
      </w:r>
      <w:proofErr w:type="spellStart"/>
      <w:r w:rsidRPr="00D8261F">
        <w:rPr>
          <w:bCs/>
          <w:sz w:val="20"/>
          <w:szCs w:val="20"/>
        </w:rPr>
        <w:t>Krafthart-Bundesamt</w:t>
      </w:r>
      <w:proofErr w:type="spellEnd"/>
      <w:r w:rsidRPr="00D8261F">
        <w:rPr>
          <w:bCs/>
          <w:sz w:val="20"/>
          <w:szCs w:val="20"/>
        </w:rPr>
        <w:t xml:space="preserve">, </w:t>
      </w:r>
      <w:hyperlink r:id="rId17" w:history="1">
        <w:r w:rsidRPr="00D8261F">
          <w:rPr>
            <w:rStyle w:val="Hyperlink"/>
            <w:bCs/>
            <w:sz w:val="20"/>
            <w:szCs w:val="20"/>
          </w:rPr>
          <w:t>https://www.kba.de/EN/Themen_en/Marktueberwachung_en/Rueckrufe_en/rueckrufe_node_en.html</w:t>
        </w:r>
      </w:hyperlink>
    </w:p>
    <w:p w14:paraId="62E775FF" w14:textId="29B7CB69" w:rsidR="00BF75E9" w:rsidRPr="00D8261F" w:rsidRDefault="00BF75E9" w:rsidP="00FE184C">
      <w:pPr>
        <w:rPr>
          <w:bCs/>
          <w:sz w:val="20"/>
          <w:szCs w:val="20"/>
        </w:rPr>
      </w:pPr>
      <w:r w:rsidRPr="00D8261F">
        <w:rPr>
          <w:bCs/>
          <w:sz w:val="20"/>
          <w:szCs w:val="20"/>
        </w:rPr>
        <w:t>**** Adapted from Department of Infrastructure, Transport, Regional Development, Communications and the Arts, https://www.vehiclerecalls.gov.au/</w:t>
      </w:r>
    </w:p>
    <w:p w14:paraId="5CC2F34D" w14:textId="77777777" w:rsidR="00FE184C" w:rsidRPr="004E347F" w:rsidRDefault="00FE184C" w:rsidP="004E347F">
      <w:pPr>
        <w:rPr>
          <w:rFonts w:asciiTheme="minorHAnsi" w:hAnsiTheme="minorHAnsi" w:cstheme="minorHAnsi"/>
          <w:bCs/>
          <w:sz w:val="20"/>
          <w:szCs w:val="20"/>
        </w:rPr>
      </w:pPr>
    </w:p>
    <w:p w14:paraId="38A7A5CA" w14:textId="77777777" w:rsidR="00EC29BB" w:rsidRDefault="00EC29BB">
      <w:pPr>
        <w:rPr>
          <w:b/>
        </w:rPr>
      </w:pPr>
      <w:r>
        <w:rPr>
          <w:b/>
        </w:rPr>
        <w:br w:type="page"/>
      </w:r>
    </w:p>
    <w:p w14:paraId="1D500F2D" w14:textId="77777777" w:rsidR="00214F06" w:rsidRDefault="00214F06" w:rsidP="00867631">
      <w:pPr>
        <w:jc w:val="center"/>
        <w:rPr>
          <w:b/>
        </w:rPr>
        <w:sectPr w:rsidR="00214F06" w:rsidSect="00784905">
          <w:footnotePr>
            <w:pos w:val="beneathText"/>
          </w:footnotePr>
          <w:pgSz w:w="15840" w:h="12240" w:orient="landscape"/>
          <w:pgMar w:top="1440" w:right="1440" w:bottom="1440" w:left="1440" w:header="720" w:footer="720" w:gutter="0"/>
          <w:cols w:space="720"/>
          <w:docGrid w:linePitch="360"/>
        </w:sectPr>
      </w:pPr>
    </w:p>
    <w:p w14:paraId="0012A528" w14:textId="3629F7A6" w:rsidR="00FD1901" w:rsidRPr="00F276E7" w:rsidRDefault="00FD1901" w:rsidP="00867631">
      <w:pPr>
        <w:jc w:val="center"/>
        <w:rPr>
          <w:b/>
          <w:sz w:val="22"/>
          <w:szCs w:val="22"/>
        </w:rPr>
      </w:pPr>
      <w:r w:rsidRPr="00F276E7">
        <w:rPr>
          <w:b/>
          <w:sz w:val="22"/>
          <w:szCs w:val="22"/>
        </w:rPr>
        <w:lastRenderedPageBreak/>
        <w:t>T</w:t>
      </w:r>
      <w:r w:rsidR="00422366" w:rsidRPr="00F276E7">
        <w:rPr>
          <w:b/>
          <w:sz w:val="22"/>
          <w:szCs w:val="22"/>
        </w:rPr>
        <w:t>ABLE 2</w:t>
      </w:r>
      <w:r w:rsidRPr="00F276E7">
        <w:rPr>
          <w:b/>
          <w:sz w:val="22"/>
          <w:szCs w:val="22"/>
        </w:rPr>
        <w:t xml:space="preserve"> –</w:t>
      </w:r>
      <w:r w:rsidR="000562D3" w:rsidRPr="00F276E7">
        <w:rPr>
          <w:b/>
          <w:sz w:val="22"/>
          <w:szCs w:val="22"/>
        </w:rPr>
        <w:t xml:space="preserve"> </w:t>
      </w:r>
      <w:r w:rsidR="00422366" w:rsidRPr="00F276E7">
        <w:rPr>
          <w:b/>
          <w:sz w:val="22"/>
          <w:szCs w:val="22"/>
        </w:rPr>
        <w:t xml:space="preserve">LIST OF VARIABLES, MEASURES, AND DATA SOURCES </w:t>
      </w:r>
    </w:p>
    <w:p w14:paraId="20981A2E" w14:textId="77777777" w:rsidR="00DF5913" w:rsidRPr="00422366" w:rsidRDefault="00DF5913" w:rsidP="00867631">
      <w:pPr>
        <w:jc w:val="center"/>
        <w:rPr>
          <w:b/>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8"/>
        <w:gridCol w:w="3977"/>
        <w:gridCol w:w="1308"/>
        <w:gridCol w:w="3283"/>
      </w:tblGrid>
      <w:tr w:rsidR="00732AAC" w14:paraId="5E5F792F" w14:textId="77777777" w:rsidTr="001D53E9">
        <w:tc>
          <w:tcPr>
            <w:tcW w:w="1008" w:type="dxa"/>
            <w:tcBorders>
              <w:top w:val="single" w:sz="4" w:space="0" w:color="auto"/>
              <w:bottom w:val="single" w:sz="4" w:space="0" w:color="auto"/>
            </w:tcBorders>
            <w:shd w:val="clear" w:color="auto" w:fill="D9D9D9" w:themeFill="background1" w:themeFillShade="D9"/>
          </w:tcPr>
          <w:p w14:paraId="66569E49" w14:textId="77777777" w:rsidR="00732AAC" w:rsidRPr="00F276E7" w:rsidRDefault="00732AAC" w:rsidP="00F276E7">
            <w:pPr>
              <w:spacing w:before="120" w:after="120" w:line="276" w:lineRule="auto"/>
              <w:jc w:val="center"/>
              <w:rPr>
                <w:b/>
                <w:sz w:val="21"/>
                <w:szCs w:val="21"/>
              </w:rPr>
            </w:pPr>
            <w:r w:rsidRPr="00F276E7">
              <w:rPr>
                <w:b/>
                <w:sz w:val="21"/>
                <w:szCs w:val="21"/>
              </w:rPr>
              <w:t>Variable</w:t>
            </w:r>
          </w:p>
        </w:tc>
        <w:tc>
          <w:tcPr>
            <w:tcW w:w="3977" w:type="dxa"/>
            <w:tcBorders>
              <w:top w:val="single" w:sz="4" w:space="0" w:color="auto"/>
              <w:bottom w:val="single" w:sz="4" w:space="0" w:color="auto"/>
            </w:tcBorders>
            <w:shd w:val="clear" w:color="auto" w:fill="D9D9D9" w:themeFill="background1" w:themeFillShade="D9"/>
          </w:tcPr>
          <w:p w14:paraId="24033D8D" w14:textId="77777777" w:rsidR="00732AAC" w:rsidRPr="00F276E7" w:rsidRDefault="00732AAC" w:rsidP="00F276E7">
            <w:pPr>
              <w:spacing w:before="120" w:after="120" w:line="276" w:lineRule="auto"/>
              <w:jc w:val="center"/>
              <w:rPr>
                <w:b/>
                <w:sz w:val="21"/>
                <w:szCs w:val="21"/>
              </w:rPr>
            </w:pPr>
            <w:r w:rsidRPr="00F276E7">
              <w:rPr>
                <w:b/>
                <w:sz w:val="21"/>
                <w:szCs w:val="21"/>
              </w:rPr>
              <w:t>Measure</w:t>
            </w:r>
          </w:p>
        </w:tc>
        <w:tc>
          <w:tcPr>
            <w:tcW w:w="1308" w:type="dxa"/>
            <w:tcBorders>
              <w:top w:val="single" w:sz="4" w:space="0" w:color="auto"/>
              <w:bottom w:val="single" w:sz="4" w:space="0" w:color="auto"/>
            </w:tcBorders>
            <w:shd w:val="clear" w:color="auto" w:fill="D9D9D9" w:themeFill="background1" w:themeFillShade="D9"/>
          </w:tcPr>
          <w:p w14:paraId="2B5D01F9" w14:textId="77777777" w:rsidR="00732AAC" w:rsidRPr="00F276E7" w:rsidRDefault="00732AAC" w:rsidP="00F276E7">
            <w:pPr>
              <w:spacing w:before="120" w:after="120" w:line="276" w:lineRule="auto"/>
              <w:jc w:val="center"/>
              <w:rPr>
                <w:b/>
                <w:sz w:val="21"/>
                <w:szCs w:val="21"/>
              </w:rPr>
            </w:pPr>
            <w:r w:rsidRPr="00F276E7">
              <w:rPr>
                <w:b/>
                <w:sz w:val="21"/>
                <w:szCs w:val="21"/>
              </w:rPr>
              <w:t>Type</w:t>
            </w:r>
          </w:p>
        </w:tc>
        <w:tc>
          <w:tcPr>
            <w:tcW w:w="3283" w:type="dxa"/>
            <w:tcBorders>
              <w:top w:val="single" w:sz="4" w:space="0" w:color="auto"/>
              <w:bottom w:val="single" w:sz="4" w:space="0" w:color="auto"/>
            </w:tcBorders>
            <w:shd w:val="clear" w:color="auto" w:fill="D9D9D9" w:themeFill="background1" w:themeFillShade="D9"/>
          </w:tcPr>
          <w:p w14:paraId="2A216654" w14:textId="77777777" w:rsidR="00732AAC" w:rsidRPr="00F276E7" w:rsidRDefault="00732AAC" w:rsidP="00F276E7">
            <w:pPr>
              <w:spacing w:before="120" w:after="120" w:line="276" w:lineRule="auto"/>
              <w:jc w:val="center"/>
              <w:rPr>
                <w:b/>
                <w:sz w:val="21"/>
                <w:szCs w:val="21"/>
              </w:rPr>
            </w:pPr>
            <w:r w:rsidRPr="00F276E7">
              <w:rPr>
                <w:b/>
                <w:sz w:val="21"/>
                <w:szCs w:val="21"/>
              </w:rPr>
              <w:t>Sources</w:t>
            </w:r>
          </w:p>
        </w:tc>
      </w:tr>
      <w:tr w:rsidR="00732AAC" w:rsidRPr="00F276E7" w14:paraId="5A9D4CD0" w14:textId="77777777" w:rsidTr="00FC55BD">
        <w:trPr>
          <w:trHeight w:val="340"/>
        </w:trPr>
        <w:tc>
          <w:tcPr>
            <w:tcW w:w="1008" w:type="dxa"/>
            <w:tcBorders>
              <w:top w:val="single" w:sz="4" w:space="0" w:color="auto"/>
            </w:tcBorders>
          </w:tcPr>
          <w:tbl>
            <w:tblPr>
              <w:tblW w:w="916" w:type="dxa"/>
              <w:tblLayout w:type="fixed"/>
              <w:tblLook w:val="04A0" w:firstRow="1" w:lastRow="0" w:firstColumn="1" w:lastColumn="0" w:noHBand="0" w:noVBand="1"/>
            </w:tblPr>
            <w:tblGrid>
              <w:gridCol w:w="916"/>
            </w:tblGrid>
            <w:tr w:rsidR="00732AAC" w:rsidRPr="00732AAC" w14:paraId="55D8BAB5" w14:textId="77777777" w:rsidTr="00732AAC">
              <w:trPr>
                <w:trHeight w:val="276"/>
              </w:trPr>
              <w:tc>
                <w:tcPr>
                  <w:tcW w:w="916" w:type="dxa"/>
                  <w:tcBorders>
                    <w:top w:val="nil"/>
                    <w:left w:val="nil"/>
                    <w:bottom w:val="nil"/>
                    <w:right w:val="nil"/>
                  </w:tcBorders>
                  <w:shd w:val="clear" w:color="auto" w:fill="auto"/>
                  <w:noWrap/>
                  <w:vAlign w:val="bottom"/>
                  <w:hideMark/>
                </w:tcPr>
                <w:p w14:paraId="0FB8E3A8" w14:textId="0B214BFA" w:rsidR="00732AAC" w:rsidRPr="00732AAC" w:rsidRDefault="004E56CB" w:rsidP="00732AAC">
                  <w:pPr>
                    <w:jc w:val="center"/>
                    <w:rPr>
                      <w:rFonts w:ascii="Calibri" w:hAnsi="Calibri"/>
                      <w:color w:val="000000"/>
                    </w:rPr>
                  </w:pPr>
                  <w:r>
                    <w:rPr>
                      <w:rFonts w:ascii="Calibri" w:hAnsi="Calibri"/>
                      <w:noProof/>
                      <w:color w:val="000000"/>
                    </w:rPr>
                    <mc:AlternateContent>
                      <mc:Choice Requires="wps">
                        <w:drawing>
                          <wp:anchor distT="0" distB="0" distL="114300" distR="114300" simplePos="0" relativeHeight="251665920" behindDoc="0" locked="0" layoutInCell="1" allowOverlap="1" wp14:anchorId="38914D4E" wp14:editId="5932C0F5">
                            <wp:simplePos x="0" y="0"/>
                            <wp:positionH relativeFrom="column">
                              <wp:posOffset>228600</wp:posOffset>
                            </wp:positionH>
                            <wp:positionV relativeFrom="paragraph">
                              <wp:posOffset>5080</wp:posOffset>
                            </wp:positionV>
                            <wp:extent cx="113665" cy="1638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665" cy="16383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DF85EB7" w14:textId="77777777" w:rsidR="002D61DD" w:rsidRDefault="00000000" w:rsidP="00732AAC">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T</m:t>
                                                </m:r>
                                              </m:e>
                                              <m:sub>
                                                <m:r>
                                                  <w:rPr>
                                                    <w:rFonts w:ascii="Cambria Math" w:hAnsi="Cambria Math" w:cstheme="minorBidi"/>
                                                    <w:color w:val="000000" w:themeColor="text1"/>
                                                    <w:sz w:val="22"/>
                                                    <w:szCs w:val="22"/>
                                                  </w:rPr>
                                                  <m:t>i</m:t>
                                                </m:r>
                                              </m:sub>
                                            </m:sSub>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type w14:anchorId="38914D4E" id="_x0000_t202" coordsize="21600,21600" o:spt="202" path="m,l,21600r21600,l21600,xe">
                            <v:stroke joinstyle="miter"/>
                            <v:path gradientshapeok="t" o:connecttype="rect"/>
                          </v:shapetype>
                          <v:shape id="Text Box 1" o:spid="_x0000_s1026" type="#_x0000_t202" style="position:absolute;left:0;text-align:left;margin-left:18pt;margin-top:.4pt;width:8.95pt;height:12.9pt;z-index:251665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" filled="f" stroked="f">
                            <v:textbox style="mso-fit-shape-to-text:t" inset="0,0,0,0">
                              <w:txbxContent>
                                <w:p w14:paraId="4DF85EB7" w14:textId="77777777" w:rsidR="002D61DD" w:rsidRDefault="00000000" w:rsidP="00732AAC">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T</m:t>
                                          </m:r>
                                        </m:e>
                                        <m:sub>
                                          <m:r>
                                            <w:rPr>
                                              <w:rFonts w:ascii="Cambria Math" w:hAnsi="Cambria Math" w:cstheme="minorBidi"/>
                                              <w:color w:val="000000" w:themeColor="text1"/>
                                              <w:sz w:val="22"/>
                                              <w:szCs w:val="22"/>
                                            </w:rPr>
                                            <m:t>i</m:t>
                                          </m:r>
                                        </m:sub>
                                      </m:sSub>
                                    </m:oMath>
                                  </m:oMathPara>
                                </w:p>
                              </w:txbxContent>
                            </v:textbox>
                          </v:shape>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900"/>
                  </w:tblGrid>
                  <w:tr w:rsidR="00732AAC" w:rsidRPr="00732AAC" w14:paraId="4E312D63" w14:textId="77777777" w:rsidTr="00732AAC">
                    <w:trPr>
                      <w:trHeight w:val="276"/>
                      <w:tblCellSpacing w:w="0" w:type="dxa"/>
                    </w:trPr>
                    <w:tc>
                      <w:tcPr>
                        <w:tcW w:w="900" w:type="dxa"/>
                        <w:tcBorders>
                          <w:top w:val="nil"/>
                          <w:left w:val="nil"/>
                          <w:bottom w:val="nil"/>
                          <w:right w:val="nil"/>
                        </w:tcBorders>
                        <w:shd w:val="clear" w:color="auto" w:fill="auto"/>
                        <w:noWrap/>
                        <w:vAlign w:val="bottom"/>
                        <w:hideMark/>
                      </w:tcPr>
                      <w:p w14:paraId="430266DE" w14:textId="77777777" w:rsidR="00732AAC" w:rsidRPr="00732AAC" w:rsidRDefault="00732AAC" w:rsidP="00732AAC">
                        <w:pPr>
                          <w:rPr>
                            <w:color w:val="000000"/>
                          </w:rPr>
                        </w:pPr>
                      </w:p>
                    </w:tc>
                  </w:tr>
                </w:tbl>
                <w:p w14:paraId="4FA70788" w14:textId="77777777" w:rsidR="00732AAC" w:rsidRPr="00732AAC" w:rsidRDefault="00732AAC" w:rsidP="00732AAC">
                  <w:pPr>
                    <w:jc w:val="center"/>
                    <w:rPr>
                      <w:rFonts w:ascii="Calibri" w:hAnsi="Calibri"/>
                      <w:color w:val="000000"/>
                    </w:rPr>
                  </w:pPr>
                </w:p>
              </w:tc>
            </w:tr>
          </w:tbl>
          <w:p w14:paraId="767F8479" w14:textId="77777777" w:rsidR="00732AAC" w:rsidRPr="00732AAC" w:rsidRDefault="00732AAC" w:rsidP="00732AAC">
            <w:pPr>
              <w:spacing w:line="276" w:lineRule="auto"/>
              <w:jc w:val="center"/>
              <w:rPr>
                <w:sz w:val="20"/>
                <w:szCs w:val="20"/>
              </w:rPr>
            </w:pPr>
          </w:p>
        </w:tc>
        <w:tc>
          <w:tcPr>
            <w:tcW w:w="3977" w:type="dxa"/>
            <w:tcBorders>
              <w:top w:val="single" w:sz="4" w:space="0" w:color="auto"/>
            </w:tcBorders>
          </w:tcPr>
          <w:p w14:paraId="150A042E" w14:textId="77777777" w:rsidR="00732AAC" w:rsidRPr="00732AAC" w:rsidRDefault="00732AAC" w:rsidP="00732AAC">
            <w:pPr>
              <w:spacing w:line="276" w:lineRule="auto"/>
              <w:rPr>
                <w:sz w:val="20"/>
                <w:szCs w:val="20"/>
              </w:rPr>
            </w:pPr>
            <w:r w:rsidRPr="00732AAC">
              <w:rPr>
                <w:sz w:val="20"/>
                <w:szCs w:val="20"/>
              </w:rPr>
              <w:t>Responsiveness, measured by the time between the release of the product to the time that it was recalled</w:t>
            </w:r>
          </w:p>
        </w:tc>
        <w:tc>
          <w:tcPr>
            <w:tcW w:w="1308" w:type="dxa"/>
            <w:tcBorders>
              <w:top w:val="single" w:sz="4" w:space="0" w:color="auto"/>
            </w:tcBorders>
          </w:tcPr>
          <w:p w14:paraId="3C4F13AE" w14:textId="2A3F1B44" w:rsidR="00732AAC" w:rsidRPr="00732AAC" w:rsidRDefault="0079495E" w:rsidP="00732AAC">
            <w:pPr>
              <w:spacing w:line="276" w:lineRule="auto"/>
              <w:rPr>
                <w:sz w:val="20"/>
                <w:szCs w:val="20"/>
              </w:rPr>
            </w:pPr>
            <w:r>
              <w:rPr>
                <w:sz w:val="20"/>
                <w:szCs w:val="20"/>
              </w:rPr>
              <w:t>Dependent</w:t>
            </w:r>
          </w:p>
        </w:tc>
        <w:tc>
          <w:tcPr>
            <w:tcW w:w="3283" w:type="dxa"/>
            <w:tcBorders>
              <w:top w:val="single" w:sz="4" w:space="0" w:color="auto"/>
            </w:tcBorders>
          </w:tcPr>
          <w:p w14:paraId="40B2D22D" w14:textId="77777777" w:rsidR="00867631" w:rsidRPr="00F276E7" w:rsidRDefault="00732AAC" w:rsidP="00867631">
            <w:pPr>
              <w:pStyle w:val="ListParagraph"/>
              <w:numPr>
                <w:ilvl w:val="0"/>
                <w:numId w:val="4"/>
              </w:numPr>
              <w:ind w:left="370" w:hanging="284"/>
              <w:rPr>
                <w:rFonts w:ascii="Times New Roman" w:hAnsi="Times New Roman" w:cs="Times New Roman"/>
                <w:sz w:val="20"/>
                <w:szCs w:val="20"/>
              </w:rPr>
            </w:pPr>
            <w:r w:rsidRPr="00F276E7">
              <w:rPr>
                <w:rFonts w:ascii="Times New Roman" w:hAnsi="Times New Roman" w:cs="Times New Roman"/>
                <w:sz w:val="20"/>
                <w:szCs w:val="20"/>
              </w:rPr>
              <w:t>National Highway Traffic and Safety Association in the U</w:t>
            </w:r>
            <w:r w:rsidR="00CD20A0" w:rsidRPr="00F276E7">
              <w:rPr>
                <w:rFonts w:ascii="Times New Roman" w:hAnsi="Times New Roman" w:cs="Times New Roman"/>
                <w:sz w:val="20"/>
                <w:szCs w:val="20"/>
              </w:rPr>
              <w:t xml:space="preserve">.S </w:t>
            </w:r>
            <w:r w:rsidR="00867631" w:rsidRPr="00F276E7">
              <w:rPr>
                <w:rFonts w:ascii="Times New Roman" w:hAnsi="Times New Roman" w:cs="Times New Roman"/>
                <w:sz w:val="20"/>
                <w:szCs w:val="20"/>
              </w:rPr>
              <w:t>(NHTSA)</w:t>
            </w:r>
          </w:p>
          <w:p w14:paraId="67A867F7" w14:textId="05828AC9" w:rsidR="00732AAC" w:rsidRPr="00F276E7" w:rsidRDefault="00750DAE" w:rsidP="00867631">
            <w:pPr>
              <w:pStyle w:val="ListParagraph"/>
              <w:numPr>
                <w:ilvl w:val="0"/>
                <w:numId w:val="4"/>
              </w:numPr>
              <w:ind w:left="370" w:hanging="284"/>
              <w:rPr>
                <w:rFonts w:ascii="Times New Roman" w:hAnsi="Times New Roman" w:cs="Times New Roman"/>
                <w:sz w:val="20"/>
                <w:szCs w:val="20"/>
              </w:rPr>
            </w:pPr>
            <w:r w:rsidRPr="00F276E7">
              <w:rPr>
                <w:rFonts w:ascii="Times New Roman" w:hAnsi="Times New Roman" w:cs="Times New Roman"/>
                <w:sz w:val="20"/>
                <w:szCs w:val="20"/>
              </w:rPr>
              <w:t>Driver and Vehicle Standards Agency</w:t>
            </w:r>
            <w:r w:rsidR="00732AAC" w:rsidRPr="00F276E7">
              <w:rPr>
                <w:rFonts w:ascii="Times New Roman" w:hAnsi="Times New Roman" w:cs="Times New Roman"/>
                <w:sz w:val="20"/>
                <w:szCs w:val="20"/>
              </w:rPr>
              <w:t xml:space="preserve"> </w:t>
            </w:r>
            <w:r w:rsidR="0079495E" w:rsidRPr="00F276E7">
              <w:rPr>
                <w:rFonts w:ascii="Times New Roman" w:hAnsi="Times New Roman" w:cs="Times New Roman"/>
                <w:sz w:val="20"/>
                <w:szCs w:val="20"/>
              </w:rPr>
              <w:t xml:space="preserve">– U.K </w:t>
            </w:r>
            <w:r w:rsidR="00732AAC" w:rsidRPr="00F276E7">
              <w:rPr>
                <w:rFonts w:ascii="Times New Roman" w:hAnsi="Times New Roman" w:cs="Times New Roman"/>
                <w:sz w:val="20"/>
                <w:szCs w:val="20"/>
              </w:rPr>
              <w:t>(</w:t>
            </w:r>
            <w:r w:rsidRPr="00F276E7">
              <w:rPr>
                <w:rFonts w:ascii="Times New Roman" w:hAnsi="Times New Roman" w:cs="Times New Roman"/>
                <w:sz w:val="20"/>
                <w:szCs w:val="20"/>
              </w:rPr>
              <w:t>DVSA</w:t>
            </w:r>
            <w:r w:rsidR="00732AAC" w:rsidRPr="00F276E7">
              <w:rPr>
                <w:rFonts w:ascii="Times New Roman" w:hAnsi="Times New Roman" w:cs="Times New Roman"/>
                <w:sz w:val="20"/>
                <w:szCs w:val="20"/>
              </w:rPr>
              <w:t>)</w:t>
            </w:r>
          </w:p>
          <w:p w14:paraId="49FAE312" w14:textId="5F7994CA" w:rsidR="0079495E" w:rsidRPr="00F276E7" w:rsidRDefault="0079495E" w:rsidP="00867631">
            <w:pPr>
              <w:pStyle w:val="ListParagraph"/>
              <w:numPr>
                <w:ilvl w:val="0"/>
                <w:numId w:val="4"/>
              </w:numPr>
              <w:ind w:left="370" w:hanging="284"/>
              <w:rPr>
                <w:rFonts w:ascii="Times New Roman" w:hAnsi="Times New Roman" w:cs="Times New Roman"/>
                <w:sz w:val="20"/>
                <w:szCs w:val="20"/>
              </w:rPr>
            </w:pPr>
            <w:proofErr w:type="spellStart"/>
            <w:r w:rsidRPr="00F276E7">
              <w:rPr>
                <w:rFonts w:ascii="Times New Roman" w:hAnsi="Times New Roman" w:cs="Times New Roman"/>
                <w:sz w:val="20"/>
                <w:szCs w:val="20"/>
              </w:rPr>
              <w:t>Krafthart-Bundesamt</w:t>
            </w:r>
            <w:proofErr w:type="spellEnd"/>
            <w:r w:rsidRPr="00F276E7">
              <w:rPr>
                <w:rFonts w:ascii="Times New Roman" w:hAnsi="Times New Roman" w:cs="Times New Roman"/>
                <w:sz w:val="20"/>
                <w:szCs w:val="20"/>
              </w:rPr>
              <w:t xml:space="preserve"> - Germany (KBA)</w:t>
            </w:r>
          </w:p>
          <w:p w14:paraId="37BB76D5" w14:textId="7CB04684" w:rsidR="0079495E" w:rsidRPr="00F276E7" w:rsidRDefault="0079495E" w:rsidP="00867631">
            <w:pPr>
              <w:pStyle w:val="ListParagraph"/>
              <w:numPr>
                <w:ilvl w:val="0"/>
                <w:numId w:val="4"/>
              </w:numPr>
              <w:ind w:left="370" w:hanging="284"/>
              <w:rPr>
                <w:rFonts w:ascii="Times New Roman" w:hAnsi="Times New Roman" w:cs="Times New Roman"/>
                <w:sz w:val="20"/>
                <w:szCs w:val="20"/>
              </w:rPr>
            </w:pPr>
            <w:r w:rsidRPr="00F276E7">
              <w:rPr>
                <w:rFonts w:ascii="Times New Roman" w:hAnsi="Times New Roman" w:cs="Times New Roman"/>
                <w:sz w:val="20"/>
                <w:szCs w:val="20"/>
              </w:rPr>
              <w:t>Department of Infrastructure, Transport, Regional Development, Communications and the Arts – Australia (DITRDA)</w:t>
            </w:r>
          </w:p>
          <w:p w14:paraId="2735EBA1" w14:textId="643BDD5F" w:rsidR="00750DAE" w:rsidRPr="00F276E7" w:rsidRDefault="00750DAE" w:rsidP="00F276E7">
            <w:pPr>
              <w:rPr>
                <w:sz w:val="20"/>
                <w:szCs w:val="20"/>
              </w:rPr>
            </w:pPr>
          </w:p>
        </w:tc>
      </w:tr>
      <w:tr w:rsidR="007F107D" w14:paraId="5AA807D0" w14:textId="77777777" w:rsidTr="00FC55BD">
        <w:trPr>
          <w:trHeight w:val="340"/>
        </w:trPr>
        <w:tc>
          <w:tcPr>
            <w:tcW w:w="1008" w:type="dxa"/>
          </w:tcPr>
          <w:p w14:paraId="5CFEB7F4" w14:textId="7CCA2E1F" w:rsidR="007F107D" w:rsidRPr="00FC55BD" w:rsidRDefault="007F107D" w:rsidP="00732AAC">
            <w:pPr>
              <w:jc w:val="center"/>
              <w:rPr>
                <w:noProof/>
                <w:color w:val="000000"/>
                <w:sz w:val="20"/>
                <w:szCs w:val="20"/>
              </w:rPr>
            </w:pPr>
            <w:r w:rsidRPr="00FC55BD">
              <w:rPr>
                <w:noProof/>
                <w:color w:val="000000"/>
                <w:sz w:val="20"/>
                <w:szCs w:val="20"/>
              </w:rPr>
              <w:t>EN</w:t>
            </w:r>
          </w:p>
        </w:tc>
        <w:tc>
          <w:tcPr>
            <w:tcW w:w="3977" w:type="dxa"/>
          </w:tcPr>
          <w:p w14:paraId="21F7E848" w14:textId="1C779090" w:rsidR="007F107D" w:rsidRDefault="007F107D" w:rsidP="00732AAC">
            <w:pPr>
              <w:rPr>
                <w:sz w:val="20"/>
                <w:szCs w:val="20"/>
              </w:rPr>
            </w:pPr>
            <w:r w:rsidRPr="00732AAC">
              <w:rPr>
                <w:sz w:val="20"/>
                <w:szCs w:val="20"/>
              </w:rPr>
              <w:t xml:space="preserve">Regulatory environment </w:t>
            </w:r>
            <w:r>
              <w:rPr>
                <w:sz w:val="20"/>
                <w:szCs w:val="20"/>
              </w:rPr>
              <w:t>in which</w:t>
            </w:r>
            <w:r w:rsidRPr="00732AAC">
              <w:rPr>
                <w:sz w:val="20"/>
                <w:szCs w:val="20"/>
              </w:rPr>
              <w:t xml:space="preserve"> the vehicle is sold (</w:t>
            </w:r>
            <w:r w:rsidR="00F237C9">
              <w:rPr>
                <w:sz w:val="20"/>
                <w:szCs w:val="20"/>
              </w:rPr>
              <w:t xml:space="preserve">1 – High </w:t>
            </w:r>
            <w:r>
              <w:rPr>
                <w:sz w:val="20"/>
                <w:szCs w:val="20"/>
              </w:rPr>
              <w:t>consumer engageme</w:t>
            </w:r>
            <w:r w:rsidRPr="00A5510C">
              <w:rPr>
                <w:sz w:val="20"/>
                <w:szCs w:val="20"/>
              </w:rPr>
              <w:t xml:space="preserve">nt </w:t>
            </w:r>
            <w:r w:rsidR="00F237C9">
              <w:rPr>
                <w:sz w:val="20"/>
                <w:szCs w:val="20"/>
              </w:rPr>
              <w:t>(</w:t>
            </w:r>
            <w:r w:rsidRPr="00A5510C">
              <w:rPr>
                <w:sz w:val="20"/>
                <w:szCs w:val="20"/>
              </w:rPr>
              <w:t xml:space="preserve">UK </w:t>
            </w:r>
            <w:r w:rsidR="00F237C9">
              <w:rPr>
                <w:sz w:val="20"/>
                <w:szCs w:val="20"/>
              </w:rPr>
              <w:t>&amp;</w:t>
            </w:r>
            <w:r w:rsidR="002E5197">
              <w:rPr>
                <w:sz w:val="20"/>
                <w:szCs w:val="20"/>
              </w:rPr>
              <w:t xml:space="preserve"> Germany</w:t>
            </w:r>
            <w:r w:rsidR="00F237C9">
              <w:rPr>
                <w:sz w:val="20"/>
                <w:szCs w:val="20"/>
              </w:rPr>
              <w:t>); 0 – otherwise (</w:t>
            </w:r>
            <w:r w:rsidRPr="00A5510C">
              <w:rPr>
                <w:sz w:val="20"/>
                <w:szCs w:val="20"/>
              </w:rPr>
              <w:t xml:space="preserve">US </w:t>
            </w:r>
            <w:r w:rsidR="00F237C9">
              <w:rPr>
                <w:sz w:val="20"/>
                <w:szCs w:val="20"/>
              </w:rPr>
              <w:t>&amp;</w:t>
            </w:r>
            <w:r w:rsidR="002E5197">
              <w:rPr>
                <w:sz w:val="20"/>
                <w:szCs w:val="20"/>
              </w:rPr>
              <w:t xml:space="preserve"> Australia</w:t>
            </w:r>
            <w:r w:rsidR="00F237C9">
              <w:rPr>
                <w:sz w:val="20"/>
                <w:szCs w:val="20"/>
              </w:rPr>
              <w:t>)</w:t>
            </w:r>
          </w:p>
          <w:p w14:paraId="32E3EE9F" w14:textId="673CC900" w:rsidR="003810DF" w:rsidRPr="00732AAC" w:rsidRDefault="003810DF" w:rsidP="00732AAC">
            <w:pPr>
              <w:rPr>
                <w:sz w:val="20"/>
                <w:szCs w:val="20"/>
              </w:rPr>
            </w:pPr>
          </w:p>
        </w:tc>
        <w:tc>
          <w:tcPr>
            <w:tcW w:w="1308" w:type="dxa"/>
          </w:tcPr>
          <w:p w14:paraId="6D462193" w14:textId="3E716AED" w:rsidR="007F107D" w:rsidRDefault="007F107D" w:rsidP="00732AAC">
            <w:pPr>
              <w:rPr>
                <w:sz w:val="20"/>
                <w:szCs w:val="20"/>
              </w:rPr>
            </w:pPr>
            <w:r>
              <w:rPr>
                <w:sz w:val="20"/>
                <w:szCs w:val="20"/>
              </w:rPr>
              <w:t>Independent</w:t>
            </w:r>
          </w:p>
        </w:tc>
        <w:tc>
          <w:tcPr>
            <w:tcW w:w="3283" w:type="dxa"/>
          </w:tcPr>
          <w:p w14:paraId="0E576E9B" w14:textId="77777777" w:rsidR="007F107D" w:rsidRPr="00F276E7" w:rsidRDefault="007F107D" w:rsidP="007F107D">
            <w:pPr>
              <w:pStyle w:val="ListParagraph"/>
              <w:numPr>
                <w:ilvl w:val="0"/>
                <w:numId w:val="4"/>
              </w:numPr>
              <w:ind w:left="370" w:hanging="284"/>
              <w:rPr>
                <w:rFonts w:ascii="Times New Roman" w:hAnsi="Times New Roman" w:cs="Times New Roman"/>
                <w:sz w:val="20"/>
                <w:szCs w:val="20"/>
              </w:rPr>
            </w:pPr>
            <w:r w:rsidRPr="00F276E7">
              <w:rPr>
                <w:rFonts w:ascii="Times New Roman" w:hAnsi="Times New Roman" w:cs="Times New Roman"/>
                <w:sz w:val="20"/>
                <w:szCs w:val="20"/>
              </w:rPr>
              <w:t xml:space="preserve">NHTSA </w:t>
            </w:r>
          </w:p>
          <w:p w14:paraId="3DFBECE2" w14:textId="77777777" w:rsidR="007F107D" w:rsidRPr="00F276E7" w:rsidRDefault="00750DAE" w:rsidP="007F107D">
            <w:pPr>
              <w:pStyle w:val="ListParagraph"/>
              <w:numPr>
                <w:ilvl w:val="0"/>
                <w:numId w:val="4"/>
              </w:numPr>
              <w:ind w:left="370" w:hanging="284"/>
              <w:rPr>
                <w:rFonts w:ascii="Times New Roman" w:hAnsi="Times New Roman" w:cs="Times New Roman"/>
                <w:sz w:val="20"/>
                <w:szCs w:val="20"/>
              </w:rPr>
            </w:pPr>
            <w:r w:rsidRPr="00F276E7">
              <w:rPr>
                <w:rFonts w:ascii="Times New Roman" w:hAnsi="Times New Roman" w:cs="Times New Roman"/>
                <w:sz w:val="20"/>
                <w:szCs w:val="20"/>
              </w:rPr>
              <w:t>DVSA</w:t>
            </w:r>
          </w:p>
          <w:p w14:paraId="59B435F2" w14:textId="77777777" w:rsidR="002E5197" w:rsidRPr="00F276E7" w:rsidRDefault="002E5197" w:rsidP="007F107D">
            <w:pPr>
              <w:pStyle w:val="ListParagraph"/>
              <w:numPr>
                <w:ilvl w:val="0"/>
                <w:numId w:val="4"/>
              </w:numPr>
              <w:ind w:left="370" w:hanging="284"/>
              <w:rPr>
                <w:rFonts w:ascii="Times New Roman" w:hAnsi="Times New Roman" w:cs="Times New Roman"/>
                <w:sz w:val="20"/>
                <w:szCs w:val="20"/>
              </w:rPr>
            </w:pPr>
            <w:r w:rsidRPr="00F276E7">
              <w:rPr>
                <w:rFonts w:ascii="Times New Roman" w:hAnsi="Times New Roman" w:cs="Times New Roman"/>
                <w:sz w:val="20"/>
                <w:szCs w:val="20"/>
              </w:rPr>
              <w:t>KBA</w:t>
            </w:r>
          </w:p>
          <w:p w14:paraId="3683001C" w14:textId="3DBB7F20" w:rsidR="002E5197" w:rsidRPr="00F276E7" w:rsidRDefault="002E5197" w:rsidP="002E5197">
            <w:pPr>
              <w:pStyle w:val="ListParagraph"/>
              <w:numPr>
                <w:ilvl w:val="0"/>
                <w:numId w:val="4"/>
              </w:numPr>
              <w:ind w:left="370" w:hanging="284"/>
              <w:rPr>
                <w:rFonts w:ascii="Times New Roman" w:hAnsi="Times New Roman" w:cs="Times New Roman"/>
                <w:sz w:val="20"/>
                <w:szCs w:val="20"/>
              </w:rPr>
            </w:pPr>
            <w:r w:rsidRPr="00F276E7">
              <w:rPr>
                <w:rFonts w:ascii="Times New Roman" w:hAnsi="Times New Roman" w:cs="Times New Roman"/>
                <w:sz w:val="20"/>
                <w:szCs w:val="20"/>
              </w:rPr>
              <w:t>DITRDA</w:t>
            </w:r>
          </w:p>
        </w:tc>
      </w:tr>
      <w:tr w:rsidR="002E5197" w14:paraId="55B1AEAE" w14:textId="77777777" w:rsidTr="00FC55BD">
        <w:trPr>
          <w:trHeight w:val="340"/>
        </w:trPr>
        <w:tc>
          <w:tcPr>
            <w:tcW w:w="1008" w:type="dxa"/>
          </w:tcPr>
          <w:p w14:paraId="6CD7F401" w14:textId="77777777" w:rsidR="002E5197" w:rsidRPr="00FC55BD" w:rsidRDefault="002E5197" w:rsidP="00732AAC">
            <w:pPr>
              <w:jc w:val="center"/>
              <w:rPr>
                <w:noProof/>
                <w:color w:val="000000"/>
                <w:sz w:val="20"/>
                <w:szCs w:val="20"/>
              </w:rPr>
            </w:pPr>
          </w:p>
        </w:tc>
        <w:tc>
          <w:tcPr>
            <w:tcW w:w="3977" w:type="dxa"/>
          </w:tcPr>
          <w:p w14:paraId="33B8C10D" w14:textId="77777777" w:rsidR="002E5197" w:rsidRPr="00732AAC" w:rsidRDefault="002E5197" w:rsidP="00732AAC">
            <w:pPr>
              <w:rPr>
                <w:sz w:val="20"/>
                <w:szCs w:val="20"/>
              </w:rPr>
            </w:pPr>
          </w:p>
        </w:tc>
        <w:tc>
          <w:tcPr>
            <w:tcW w:w="1308" w:type="dxa"/>
          </w:tcPr>
          <w:p w14:paraId="51D2DEC5" w14:textId="77777777" w:rsidR="002E5197" w:rsidRDefault="002E5197" w:rsidP="00732AAC">
            <w:pPr>
              <w:rPr>
                <w:sz w:val="20"/>
                <w:szCs w:val="20"/>
              </w:rPr>
            </w:pPr>
          </w:p>
        </w:tc>
        <w:tc>
          <w:tcPr>
            <w:tcW w:w="3283" w:type="dxa"/>
          </w:tcPr>
          <w:p w14:paraId="21B91D9C" w14:textId="77777777" w:rsidR="002E5197" w:rsidRPr="00F276E7" w:rsidRDefault="002E5197" w:rsidP="0007248D">
            <w:pPr>
              <w:pStyle w:val="ListParagraph"/>
              <w:ind w:left="370"/>
              <w:rPr>
                <w:rFonts w:ascii="Times New Roman" w:hAnsi="Times New Roman" w:cs="Times New Roman"/>
                <w:sz w:val="20"/>
                <w:szCs w:val="20"/>
              </w:rPr>
            </w:pPr>
          </w:p>
        </w:tc>
      </w:tr>
      <w:tr w:rsidR="00732AAC" w14:paraId="40CBBB05" w14:textId="77777777" w:rsidTr="001D53E9">
        <w:trPr>
          <w:trHeight w:val="340"/>
        </w:trPr>
        <w:tc>
          <w:tcPr>
            <w:tcW w:w="1008" w:type="dxa"/>
          </w:tcPr>
          <w:p w14:paraId="5F98B2C9" w14:textId="77777777" w:rsidR="00732AAC" w:rsidRPr="00732AAC" w:rsidRDefault="00732AAC" w:rsidP="00732AAC">
            <w:pPr>
              <w:spacing w:line="276" w:lineRule="auto"/>
              <w:jc w:val="center"/>
              <w:rPr>
                <w:sz w:val="20"/>
                <w:szCs w:val="20"/>
              </w:rPr>
            </w:pPr>
            <w:r w:rsidRPr="00732AAC">
              <w:rPr>
                <w:sz w:val="20"/>
                <w:szCs w:val="20"/>
              </w:rPr>
              <w:t>S</w:t>
            </w:r>
          </w:p>
        </w:tc>
        <w:tc>
          <w:tcPr>
            <w:tcW w:w="3977" w:type="dxa"/>
          </w:tcPr>
          <w:p w14:paraId="000FA017" w14:textId="77777777" w:rsidR="00732AAC" w:rsidRPr="00732AAC" w:rsidRDefault="00732AAC" w:rsidP="00732AAC">
            <w:pPr>
              <w:spacing w:line="276" w:lineRule="auto"/>
              <w:rPr>
                <w:sz w:val="20"/>
                <w:szCs w:val="20"/>
              </w:rPr>
            </w:pPr>
            <w:r w:rsidRPr="00732AAC">
              <w:rPr>
                <w:sz w:val="20"/>
                <w:szCs w:val="20"/>
              </w:rPr>
              <w:t>The standardization of the vehicle across markets</w:t>
            </w:r>
          </w:p>
        </w:tc>
        <w:tc>
          <w:tcPr>
            <w:tcW w:w="1308" w:type="dxa"/>
          </w:tcPr>
          <w:p w14:paraId="727D4860" w14:textId="77777777" w:rsidR="00732AAC" w:rsidRPr="00732AAC" w:rsidRDefault="00732AAC" w:rsidP="00732AAC">
            <w:pPr>
              <w:spacing w:line="276" w:lineRule="auto"/>
              <w:rPr>
                <w:sz w:val="20"/>
                <w:szCs w:val="20"/>
              </w:rPr>
            </w:pPr>
            <w:r>
              <w:rPr>
                <w:sz w:val="20"/>
                <w:szCs w:val="20"/>
              </w:rPr>
              <w:t>Independent</w:t>
            </w:r>
          </w:p>
        </w:tc>
        <w:tc>
          <w:tcPr>
            <w:tcW w:w="3283" w:type="dxa"/>
          </w:tcPr>
          <w:p w14:paraId="4B4E89A8" w14:textId="77777777" w:rsidR="00867631" w:rsidRPr="00F276E7" w:rsidRDefault="00867631" w:rsidP="00867631">
            <w:pPr>
              <w:pStyle w:val="ListParagraph"/>
              <w:numPr>
                <w:ilvl w:val="0"/>
                <w:numId w:val="4"/>
              </w:numPr>
              <w:ind w:left="370" w:hanging="284"/>
              <w:rPr>
                <w:rFonts w:ascii="Times New Roman" w:hAnsi="Times New Roman" w:cs="Times New Roman"/>
                <w:sz w:val="20"/>
                <w:szCs w:val="20"/>
              </w:rPr>
            </w:pPr>
            <w:r w:rsidRPr="00F276E7">
              <w:rPr>
                <w:rFonts w:ascii="Times New Roman" w:hAnsi="Times New Roman" w:cs="Times New Roman"/>
                <w:sz w:val="20"/>
                <w:szCs w:val="20"/>
              </w:rPr>
              <w:t>Car and Driver Magazine (US)</w:t>
            </w:r>
          </w:p>
          <w:p w14:paraId="1F03C02F" w14:textId="77777777" w:rsidR="00867631" w:rsidRPr="00F276E7" w:rsidRDefault="00867631" w:rsidP="00867631">
            <w:pPr>
              <w:pStyle w:val="ListParagraph"/>
              <w:numPr>
                <w:ilvl w:val="0"/>
                <w:numId w:val="4"/>
              </w:numPr>
              <w:ind w:left="370" w:hanging="284"/>
              <w:rPr>
                <w:rFonts w:ascii="Times New Roman" w:hAnsi="Times New Roman" w:cs="Times New Roman"/>
                <w:sz w:val="20"/>
                <w:szCs w:val="20"/>
              </w:rPr>
            </w:pPr>
            <w:r w:rsidRPr="00F276E7">
              <w:rPr>
                <w:rFonts w:ascii="Times New Roman" w:hAnsi="Times New Roman" w:cs="Times New Roman"/>
                <w:sz w:val="20"/>
                <w:szCs w:val="20"/>
              </w:rPr>
              <w:t>Parker's Automotive (UK)</w:t>
            </w:r>
          </w:p>
          <w:p w14:paraId="17459A44" w14:textId="77777777" w:rsidR="00732AAC" w:rsidRPr="00F276E7" w:rsidRDefault="00732AAC" w:rsidP="00867631">
            <w:pPr>
              <w:pStyle w:val="ListParagraph"/>
              <w:numPr>
                <w:ilvl w:val="0"/>
                <w:numId w:val="4"/>
              </w:numPr>
              <w:ind w:left="370" w:hanging="284"/>
              <w:rPr>
                <w:rFonts w:ascii="Times New Roman" w:hAnsi="Times New Roman" w:cs="Times New Roman"/>
                <w:sz w:val="20"/>
                <w:szCs w:val="20"/>
              </w:rPr>
            </w:pPr>
            <w:r w:rsidRPr="00F276E7">
              <w:rPr>
                <w:rFonts w:ascii="Times New Roman" w:hAnsi="Times New Roman" w:cs="Times New Roman"/>
                <w:sz w:val="20"/>
                <w:szCs w:val="20"/>
              </w:rPr>
              <w:t>Company Sources</w:t>
            </w:r>
          </w:p>
          <w:p w14:paraId="6DF08FDB" w14:textId="2BEF52BB" w:rsidR="00750DAE" w:rsidRPr="00F276E7" w:rsidRDefault="00750DAE" w:rsidP="00750DAE">
            <w:pPr>
              <w:pStyle w:val="ListParagraph"/>
              <w:ind w:left="370"/>
              <w:rPr>
                <w:rFonts w:ascii="Times New Roman" w:hAnsi="Times New Roman" w:cs="Times New Roman"/>
                <w:sz w:val="20"/>
                <w:szCs w:val="20"/>
              </w:rPr>
            </w:pPr>
          </w:p>
        </w:tc>
      </w:tr>
      <w:tr w:rsidR="00732AAC" w14:paraId="05FE6E8F" w14:textId="77777777" w:rsidTr="001D53E9">
        <w:trPr>
          <w:trHeight w:val="340"/>
        </w:trPr>
        <w:tc>
          <w:tcPr>
            <w:tcW w:w="1008" w:type="dxa"/>
          </w:tcPr>
          <w:p w14:paraId="62D28F66" w14:textId="77777777" w:rsidR="00732AAC" w:rsidRPr="00732AAC" w:rsidRDefault="00732AAC" w:rsidP="00732AAC">
            <w:pPr>
              <w:spacing w:line="276" w:lineRule="auto"/>
              <w:jc w:val="center"/>
              <w:rPr>
                <w:sz w:val="20"/>
                <w:szCs w:val="20"/>
              </w:rPr>
            </w:pPr>
            <w:r w:rsidRPr="0019028D">
              <w:rPr>
                <w:sz w:val="20"/>
                <w:szCs w:val="20"/>
              </w:rPr>
              <w:t>G</w:t>
            </w:r>
          </w:p>
        </w:tc>
        <w:tc>
          <w:tcPr>
            <w:tcW w:w="3977" w:type="dxa"/>
          </w:tcPr>
          <w:p w14:paraId="2A216FA2" w14:textId="5563852B" w:rsidR="00732AAC" w:rsidRDefault="00732AAC" w:rsidP="00867631">
            <w:pPr>
              <w:spacing w:line="276" w:lineRule="auto"/>
              <w:rPr>
                <w:sz w:val="20"/>
                <w:szCs w:val="20"/>
              </w:rPr>
            </w:pPr>
            <w:r w:rsidRPr="00732AAC">
              <w:rPr>
                <w:sz w:val="20"/>
                <w:szCs w:val="20"/>
              </w:rPr>
              <w:t xml:space="preserve">Level of </w:t>
            </w:r>
            <w:proofErr w:type="spellStart"/>
            <w:r w:rsidRPr="00732AAC">
              <w:rPr>
                <w:sz w:val="20"/>
                <w:szCs w:val="20"/>
              </w:rPr>
              <w:t>generalism</w:t>
            </w:r>
            <w:proofErr w:type="spellEnd"/>
            <w:r w:rsidRPr="00732AAC">
              <w:rPr>
                <w:sz w:val="20"/>
                <w:szCs w:val="20"/>
              </w:rPr>
              <w:t xml:space="preserve"> for the automaker</w:t>
            </w:r>
            <w:r w:rsidR="00867631">
              <w:rPr>
                <w:sz w:val="20"/>
                <w:szCs w:val="20"/>
              </w:rPr>
              <w:t xml:space="preserve"> in a given marketplace</w:t>
            </w:r>
            <w:r w:rsidR="00C4787C">
              <w:rPr>
                <w:sz w:val="20"/>
                <w:szCs w:val="20"/>
              </w:rPr>
              <w:t xml:space="preserve"> (</w:t>
            </w:r>
            <w:r w:rsidRPr="00732AAC">
              <w:rPr>
                <w:sz w:val="20"/>
                <w:szCs w:val="20"/>
              </w:rPr>
              <w:t xml:space="preserve">Rhee </w:t>
            </w:r>
            <w:r w:rsidR="00C4787C">
              <w:rPr>
                <w:sz w:val="20"/>
                <w:szCs w:val="20"/>
              </w:rPr>
              <w:t>&amp;</w:t>
            </w:r>
            <w:r w:rsidR="00C4787C" w:rsidRPr="00732AAC">
              <w:rPr>
                <w:sz w:val="20"/>
                <w:szCs w:val="20"/>
              </w:rPr>
              <w:t xml:space="preserve"> </w:t>
            </w:r>
            <w:r w:rsidRPr="00732AAC">
              <w:rPr>
                <w:sz w:val="20"/>
                <w:szCs w:val="20"/>
              </w:rPr>
              <w:t>Haunschild</w:t>
            </w:r>
            <w:r w:rsidR="00C4787C">
              <w:rPr>
                <w:sz w:val="20"/>
                <w:szCs w:val="20"/>
              </w:rPr>
              <w:t>,</w:t>
            </w:r>
            <w:r w:rsidRPr="00732AAC">
              <w:rPr>
                <w:sz w:val="20"/>
                <w:szCs w:val="20"/>
              </w:rPr>
              <w:t xml:space="preserve"> 2006)</w:t>
            </w:r>
          </w:p>
          <w:p w14:paraId="42D41B10" w14:textId="6E6B6C2A" w:rsidR="003810DF" w:rsidRPr="00732AAC" w:rsidRDefault="003810DF" w:rsidP="00867631">
            <w:pPr>
              <w:spacing w:line="276" w:lineRule="auto"/>
              <w:rPr>
                <w:sz w:val="20"/>
                <w:szCs w:val="20"/>
              </w:rPr>
            </w:pPr>
          </w:p>
        </w:tc>
        <w:tc>
          <w:tcPr>
            <w:tcW w:w="1308" w:type="dxa"/>
          </w:tcPr>
          <w:p w14:paraId="5E1F1AF0" w14:textId="437D83E3" w:rsidR="00732AAC" w:rsidRPr="00732AAC" w:rsidRDefault="003810DF" w:rsidP="00732AAC">
            <w:pPr>
              <w:spacing w:line="276" w:lineRule="auto"/>
              <w:rPr>
                <w:sz w:val="20"/>
                <w:szCs w:val="20"/>
              </w:rPr>
            </w:pPr>
            <w:r>
              <w:rPr>
                <w:sz w:val="20"/>
                <w:szCs w:val="20"/>
              </w:rPr>
              <w:t>Control</w:t>
            </w:r>
          </w:p>
        </w:tc>
        <w:tc>
          <w:tcPr>
            <w:tcW w:w="3283" w:type="dxa"/>
          </w:tcPr>
          <w:p w14:paraId="6A595921" w14:textId="77777777" w:rsidR="00867631" w:rsidRPr="00F276E7" w:rsidRDefault="00867631" w:rsidP="00867631">
            <w:pPr>
              <w:pStyle w:val="ListParagraph"/>
              <w:numPr>
                <w:ilvl w:val="0"/>
                <w:numId w:val="4"/>
              </w:numPr>
              <w:ind w:left="370" w:hanging="284"/>
              <w:rPr>
                <w:rFonts w:ascii="Times New Roman" w:hAnsi="Times New Roman" w:cs="Times New Roman"/>
                <w:sz w:val="20"/>
                <w:szCs w:val="20"/>
              </w:rPr>
            </w:pPr>
            <w:r w:rsidRPr="00F276E7">
              <w:rPr>
                <w:rFonts w:ascii="Times New Roman" w:hAnsi="Times New Roman" w:cs="Times New Roman"/>
                <w:sz w:val="20"/>
                <w:szCs w:val="20"/>
              </w:rPr>
              <w:t>Car and Driver Magazine (US)</w:t>
            </w:r>
          </w:p>
          <w:p w14:paraId="00BD2F11" w14:textId="77777777" w:rsidR="00867631" w:rsidRPr="00F276E7" w:rsidRDefault="00867631" w:rsidP="00867631">
            <w:pPr>
              <w:pStyle w:val="ListParagraph"/>
              <w:numPr>
                <w:ilvl w:val="0"/>
                <w:numId w:val="4"/>
              </w:numPr>
              <w:ind w:left="370" w:hanging="284"/>
              <w:rPr>
                <w:rFonts w:ascii="Times New Roman" w:hAnsi="Times New Roman" w:cs="Times New Roman"/>
                <w:sz w:val="20"/>
                <w:szCs w:val="20"/>
              </w:rPr>
            </w:pPr>
            <w:r w:rsidRPr="00F276E7">
              <w:rPr>
                <w:rFonts w:ascii="Times New Roman" w:hAnsi="Times New Roman" w:cs="Times New Roman"/>
                <w:sz w:val="20"/>
                <w:szCs w:val="20"/>
              </w:rPr>
              <w:t>Parker's Automotive (UK)</w:t>
            </w:r>
          </w:p>
          <w:p w14:paraId="74C35E1D" w14:textId="77777777" w:rsidR="00732AAC" w:rsidRPr="00F276E7" w:rsidRDefault="00867631" w:rsidP="00867631">
            <w:pPr>
              <w:pStyle w:val="ListParagraph"/>
              <w:numPr>
                <w:ilvl w:val="0"/>
                <w:numId w:val="4"/>
              </w:numPr>
              <w:ind w:left="370" w:hanging="284"/>
              <w:rPr>
                <w:rFonts w:ascii="Times New Roman" w:hAnsi="Times New Roman" w:cs="Times New Roman"/>
                <w:sz w:val="20"/>
                <w:szCs w:val="20"/>
              </w:rPr>
            </w:pPr>
            <w:r w:rsidRPr="00F276E7">
              <w:rPr>
                <w:rFonts w:ascii="Times New Roman" w:hAnsi="Times New Roman" w:cs="Times New Roman"/>
                <w:sz w:val="20"/>
                <w:szCs w:val="20"/>
              </w:rPr>
              <w:t>Company Sources</w:t>
            </w:r>
          </w:p>
        </w:tc>
      </w:tr>
      <w:tr w:rsidR="003A0CEC" w14:paraId="2A99F34B" w14:textId="77777777" w:rsidTr="001D53E9">
        <w:trPr>
          <w:trHeight w:val="340"/>
        </w:trPr>
        <w:tc>
          <w:tcPr>
            <w:tcW w:w="1008" w:type="dxa"/>
          </w:tcPr>
          <w:p w14:paraId="34C35676" w14:textId="114BC1DD" w:rsidR="003A0CEC" w:rsidRPr="00732AAC" w:rsidRDefault="00BE498D" w:rsidP="00732AAC">
            <w:pPr>
              <w:jc w:val="center"/>
              <w:rPr>
                <w:sz w:val="20"/>
                <w:szCs w:val="20"/>
              </w:rPr>
            </w:pPr>
            <w:r>
              <w:rPr>
                <w:sz w:val="20"/>
                <w:szCs w:val="20"/>
              </w:rPr>
              <w:t>D</w:t>
            </w:r>
          </w:p>
        </w:tc>
        <w:tc>
          <w:tcPr>
            <w:tcW w:w="3977" w:type="dxa"/>
          </w:tcPr>
          <w:p w14:paraId="44C98903" w14:textId="77777777" w:rsidR="003A0CEC" w:rsidRDefault="003A0CEC" w:rsidP="00C56797">
            <w:pPr>
              <w:rPr>
                <w:sz w:val="20"/>
                <w:szCs w:val="20"/>
              </w:rPr>
            </w:pPr>
            <w:r>
              <w:rPr>
                <w:sz w:val="20"/>
                <w:szCs w:val="20"/>
              </w:rPr>
              <w:t xml:space="preserve">The headquarters of the parent firm </w:t>
            </w:r>
            <w:r w:rsidR="00505254">
              <w:rPr>
                <w:sz w:val="20"/>
                <w:szCs w:val="20"/>
              </w:rPr>
              <w:t>are</w:t>
            </w:r>
            <w:r>
              <w:rPr>
                <w:sz w:val="20"/>
                <w:szCs w:val="20"/>
              </w:rPr>
              <w:t xml:space="preserve"> located in Germany</w:t>
            </w:r>
          </w:p>
          <w:p w14:paraId="44D8C01D" w14:textId="1A0B7664" w:rsidR="003810DF" w:rsidRPr="00732AAC" w:rsidRDefault="003810DF" w:rsidP="00C56797">
            <w:pPr>
              <w:rPr>
                <w:sz w:val="20"/>
                <w:szCs w:val="20"/>
              </w:rPr>
            </w:pPr>
          </w:p>
        </w:tc>
        <w:tc>
          <w:tcPr>
            <w:tcW w:w="1308" w:type="dxa"/>
          </w:tcPr>
          <w:p w14:paraId="4A4EEACE" w14:textId="77777777" w:rsidR="003A0CEC" w:rsidRDefault="003A0CEC" w:rsidP="00732AAC">
            <w:pPr>
              <w:rPr>
                <w:sz w:val="20"/>
                <w:szCs w:val="20"/>
              </w:rPr>
            </w:pPr>
            <w:r>
              <w:rPr>
                <w:sz w:val="20"/>
                <w:szCs w:val="20"/>
              </w:rPr>
              <w:t>Control</w:t>
            </w:r>
          </w:p>
        </w:tc>
        <w:tc>
          <w:tcPr>
            <w:tcW w:w="3283" w:type="dxa"/>
          </w:tcPr>
          <w:p w14:paraId="5092CB9C" w14:textId="77777777" w:rsidR="003A0CEC" w:rsidRPr="00F276E7" w:rsidRDefault="003A0CEC" w:rsidP="001D53E9">
            <w:pPr>
              <w:pStyle w:val="ListParagraph"/>
              <w:ind w:left="370"/>
              <w:rPr>
                <w:rFonts w:ascii="Times New Roman" w:hAnsi="Times New Roman" w:cs="Times New Roman"/>
                <w:sz w:val="20"/>
                <w:szCs w:val="20"/>
              </w:rPr>
            </w:pPr>
          </w:p>
        </w:tc>
      </w:tr>
      <w:tr w:rsidR="003A0CEC" w14:paraId="1E9629B4" w14:textId="77777777" w:rsidTr="001D53E9">
        <w:trPr>
          <w:trHeight w:val="340"/>
        </w:trPr>
        <w:tc>
          <w:tcPr>
            <w:tcW w:w="1008" w:type="dxa"/>
          </w:tcPr>
          <w:p w14:paraId="6F1752FE" w14:textId="77777777" w:rsidR="003A0CEC" w:rsidRPr="00732AAC" w:rsidRDefault="003A0CEC" w:rsidP="00732AAC">
            <w:pPr>
              <w:jc w:val="center"/>
              <w:rPr>
                <w:sz w:val="20"/>
                <w:szCs w:val="20"/>
              </w:rPr>
            </w:pPr>
            <w:r>
              <w:rPr>
                <w:sz w:val="20"/>
                <w:szCs w:val="20"/>
              </w:rPr>
              <w:t>J</w:t>
            </w:r>
          </w:p>
        </w:tc>
        <w:tc>
          <w:tcPr>
            <w:tcW w:w="3977" w:type="dxa"/>
          </w:tcPr>
          <w:p w14:paraId="6904AFD5" w14:textId="77777777" w:rsidR="003A0CEC" w:rsidRDefault="003A0CEC" w:rsidP="001D53E9">
            <w:pPr>
              <w:rPr>
                <w:sz w:val="20"/>
                <w:szCs w:val="20"/>
              </w:rPr>
            </w:pPr>
            <w:r>
              <w:rPr>
                <w:sz w:val="20"/>
                <w:szCs w:val="20"/>
              </w:rPr>
              <w:t xml:space="preserve">The headquarters of the parent firm </w:t>
            </w:r>
            <w:r w:rsidR="00505254">
              <w:rPr>
                <w:sz w:val="20"/>
                <w:szCs w:val="20"/>
              </w:rPr>
              <w:t>are</w:t>
            </w:r>
            <w:r>
              <w:rPr>
                <w:sz w:val="20"/>
                <w:szCs w:val="20"/>
              </w:rPr>
              <w:t xml:space="preserve"> located in </w:t>
            </w:r>
            <w:r w:rsidR="00222C41">
              <w:rPr>
                <w:sz w:val="20"/>
                <w:szCs w:val="20"/>
              </w:rPr>
              <w:t>Japan</w:t>
            </w:r>
          </w:p>
          <w:p w14:paraId="6CD7D6CD" w14:textId="029A0028" w:rsidR="003810DF" w:rsidRPr="00732AAC" w:rsidRDefault="003810DF" w:rsidP="001D53E9">
            <w:pPr>
              <w:rPr>
                <w:sz w:val="20"/>
                <w:szCs w:val="20"/>
              </w:rPr>
            </w:pPr>
          </w:p>
        </w:tc>
        <w:tc>
          <w:tcPr>
            <w:tcW w:w="1308" w:type="dxa"/>
          </w:tcPr>
          <w:p w14:paraId="2F58727B" w14:textId="77777777" w:rsidR="003A0CEC" w:rsidRDefault="003A0CEC" w:rsidP="00732AAC">
            <w:pPr>
              <w:rPr>
                <w:sz w:val="20"/>
                <w:szCs w:val="20"/>
              </w:rPr>
            </w:pPr>
            <w:r>
              <w:rPr>
                <w:sz w:val="20"/>
                <w:szCs w:val="20"/>
              </w:rPr>
              <w:t>Control</w:t>
            </w:r>
          </w:p>
        </w:tc>
        <w:tc>
          <w:tcPr>
            <w:tcW w:w="3283" w:type="dxa"/>
          </w:tcPr>
          <w:p w14:paraId="6F2CA3D6" w14:textId="77777777" w:rsidR="003A0CEC" w:rsidRPr="00F276E7" w:rsidRDefault="003A0CEC" w:rsidP="001D53E9">
            <w:pPr>
              <w:pStyle w:val="ListParagraph"/>
              <w:ind w:left="370"/>
              <w:rPr>
                <w:rFonts w:ascii="Times New Roman" w:hAnsi="Times New Roman" w:cs="Times New Roman"/>
                <w:sz w:val="20"/>
                <w:szCs w:val="20"/>
              </w:rPr>
            </w:pPr>
          </w:p>
        </w:tc>
      </w:tr>
      <w:tr w:rsidR="003A0CEC" w14:paraId="34AC6018" w14:textId="77777777" w:rsidTr="001D53E9">
        <w:trPr>
          <w:trHeight w:val="340"/>
        </w:trPr>
        <w:tc>
          <w:tcPr>
            <w:tcW w:w="1008" w:type="dxa"/>
          </w:tcPr>
          <w:p w14:paraId="01CA93AB" w14:textId="77777777" w:rsidR="003A0CEC" w:rsidRPr="00732AAC" w:rsidRDefault="003A0CEC" w:rsidP="00732AAC">
            <w:pPr>
              <w:jc w:val="center"/>
              <w:rPr>
                <w:sz w:val="20"/>
                <w:szCs w:val="20"/>
              </w:rPr>
            </w:pPr>
            <w:r>
              <w:rPr>
                <w:sz w:val="20"/>
                <w:szCs w:val="20"/>
              </w:rPr>
              <w:t>SK</w:t>
            </w:r>
          </w:p>
        </w:tc>
        <w:tc>
          <w:tcPr>
            <w:tcW w:w="3977" w:type="dxa"/>
          </w:tcPr>
          <w:p w14:paraId="1D73E29F" w14:textId="77777777" w:rsidR="003A0CEC" w:rsidRDefault="003A0CEC" w:rsidP="001D53E9">
            <w:pPr>
              <w:rPr>
                <w:sz w:val="20"/>
                <w:szCs w:val="20"/>
              </w:rPr>
            </w:pPr>
            <w:r>
              <w:rPr>
                <w:sz w:val="20"/>
                <w:szCs w:val="20"/>
              </w:rPr>
              <w:t xml:space="preserve">The headquarters of the parent firm </w:t>
            </w:r>
            <w:r w:rsidR="00505254">
              <w:rPr>
                <w:sz w:val="20"/>
                <w:szCs w:val="20"/>
              </w:rPr>
              <w:t>are</w:t>
            </w:r>
            <w:r>
              <w:rPr>
                <w:sz w:val="20"/>
                <w:szCs w:val="20"/>
              </w:rPr>
              <w:t xml:space="preserve"> located in </w:t>
            </w:r>
            <w:r w:rsidR="00222C41">
              <w:rPr>
                <w:sz w:val="20"/>
                <w:szCs w:val="20"/>
              </w:rPr>
              <w:t>South Korea</w:t>
            </w:r>
          </w:p>
          <w:p w14:paraId="538FC037" w14:textId="73DA6C26" w:rsidR="003810DF" w:rsidRPr="00732AAC" w:rsidRDefault="003810DF" w:rsidP="001D53E9">
            <w:pPr>
              <w:rPr>
                <w:sz w:val="20"/>
                <w:szCs w:val="20"/>
              </w:rPr>
            </w:pPr>
          </w:p>
        </w:tc>
        <w:tc>
          <w:tcPr>
            <w:tcW w:w="1308" w:type="dxa"/>
          </w:tcPr>
          <w:p w14:paraId="4CCDE78E" w14:textId="77777777" w:rsidR="003A0CEC" w:rsidRDefault="003A0CEC" w:rsidP="00732AAC">
            <w:pPr>
              <w:rPr>
                <w:sz w:val="20"/>
                <w:szCs w:val="20"/>
              </w:rPr>
            </w:pPr>
            <w:r>
              <w:rPr>
                <w:sz w:val="20"/>
                <w:szCs w:val="20"/>
              </w:rPr>
              <w:t>Control</w:t>
            </w:r>
          </w:p>
        </w:tc>
        <w:tc>
          <w:tcPr>
            <w:tcW w:w="3283" w:type="dxa"/>
          </w:tcPr>
          <w:p w14:paraId="123920CF" w14:textId="77777777" w:rsidR="003A0CEC" w:rsidRPr="00F276E7" w:rsidRDefault="003A0CEC" w:rsidP="001D53E9">
            <w:pPr>
              <w:pStyle w:val="ListParagraph"/>
              <w:ind w:left="370"/>
              <w:rPr>
                <w:rFonts w:ascii="Times New Roman" w:hAnsi="Times New Roman" w:cs="Times New Roman"/>
                <w:sz w:val="20"/>
                <w:szCs w:val="20"/>
              </w:rPr>
            </w:pPr>
          </w:p>
        </w:tc>
      </w:tr>
      <w:tr w:rsidR="003A0CEC" w14:paraId="642AF90D" w14:textId="77777777" w:rsidTr="001D53E9">
        <w:trPr>
          <w:trHeight w:val="340"/>
        </w:trPr>
        <w:tc>
          <w:tcPr>
            <w:tcW w:w="1008" w:type="dxa"/>
          </w:tcPr>
          <w:p w14:paraId="53EF49B7" w14:textId="77777777" w:rsidR="003A0CEC" w:rsidRPr="00732AAC" w:rsidRDefault="003A0CEC" w:rsidP="00732AAC">
            <w:pPr>
              <w:jc w:val="center"/>
              <w:rPr>
                <w:sz w:val="20"/>
                <w:szCs w:val="20"/>
              </w:rPr>
            </w:pPr>
            <w:r>
              <w:rPr>
                <w:sz w:val="20"/>
                <w:szCs w:val="20"/>
              </w:rPr>
              <w:t>U</w:t>
            </w:r>
          </w:p>
        </w:tc>
        <w:tc>
          <w:tcPr>
            <w:tcW w:w="3977" w:type="dxa"/>
          </w:tcPr>
          <w:p w14:paraId="3043E6EF" w14:textId="22590371" w:rsidR="003A0CEC" w:rsidRDefault="003A0CEC" w:rsidP="001D53E9">
            <w:pPr>
              <w:rPr>
                <w:sz w:val="20"/>
                <w:szCs w:val="20"/>
              </w:rPr>
            </w:pPr>
            <w:r>
              <w:rPr>
                <w:sz w:val="20"/>
                <w:szCs w:val="20"/>
              </w:rPr>
              <w:t xml:space="preserve">The headquarters of the parent firm </w:t>
            </w:r>
            <w:r w:rsidR="00505254">
              <w:rPr>
                <w:sz w:val="20"/>
                <w:szCs w:val="20"/>
              </w:rPr>
              <w:t>are</w:t>
            </w:r>
            <w:r>
              <w:rPr>
                <w:sz w:val="20"/>
                <w:szCs w:val="20"/>
              </w:rPr>
              <w:t xml:space="preserve"> located in </w:t>
            </w:r>
            <w:r w:rsidR="00222C41">
              <w:rPr>
                <w:sz w:val="20"/>
                <w:szCs w:val="20"/>
              </w:rPr>
              <w:t xml:space="preserve">the </w:t>
            </w:r>
            <w:r w:rsidR="000A1B0A">
              <w:rPr>
                <w:sz w:val="20"/>
                <w:szCs w:val="20"/>
              </w:rPr>
              <w:t>U.S</w:t>
            </w:r>
          </w:p>
          <w:p w14:paraId="1DEBD8E2" w14:textId="01C9A823" w:rsidR="003810DF" w:rsidRPr="00732AAC" w:rsidRDefault="003810DF" w:rsidP="001D53E9">
            <w:pPr>
              <w:rPr>
                <w:sz w:val="20"/>
                <w:szCs w:val="20"/>
              </w:rPr>
            </w:pPr>
          </w:p>
        </w:tc>
        <w:tc>
          <w:tcPr>
            <w:tcW w:w="1308" w:type="dxa"/>
          </w:tcPr>
          <w:p w14:paraId="7BEC230D" w14:textId="77777777" w:rsidR="003A0CEC" w:rsidRDefault="003A0CEC" w:rsidP="00732AAC">
            <w:pPr>
              <w:rPr>
                <w:sz w:val="20"/>
                <w:szCs w:val="20"/>
              </w:rPr>
            </w:pPr>
            <w:r>
              <w:rPr>
                <w:sz w:val="20"/>
                <w:szCs w:val="20"/>
              </w:rPr>
              <w:t>Control</w:t>
            </w:r>
          </w:p>
        </w:tc>
        <w:tc>
          <w:tcPr>
            <w:tcW w:w="3283" w:type="dxa"/>
          </w:tcPr>
          <w:p w14:paraId="2D099878" w14:textId="77777777" w:rsidR="003A0CEC" w:rsidRPr="00F276E7" w:rsidRDefault="003A0CEC" w:rsidP="001D53E9">
            <w:pPr>
              <w:pStyle w:val="ListParagraph"/>
              <w:ind w:left="370"/>
              <w:rPr>
                <w:rFonts w:ascii="Times New Roman" w:hAnsi="Times New Roman" w:cs="Times New Roman"/>
                <w:sz w:val="20"/>
                <w:szCs w:val="20"/>
              </w:rPr>
            </w:pPr>
          </w:p>
        </w:tc>
      </w:tr>
      <w:tr w:rsidR="00732AAC" w14:paraId="187B8D2C" w14:textId="77777777" w:rsidTr="001D53E9">
        <w:trPr>
          <w:trHeight w:val="340"/>
        </w:trPr>
        <w:tc>
          <w:tcPr>
            <w:tcW w:w="1008" w:type="dxa"/>
          </w:tcPr>
          <w:p w14:paraId="5FA1502C" w14:textId="77777777" w:rsidR="00732AAC" w:rsidRPr="00732AAC" w:rsidRDefault="00732AAC" w:rsidP="00732AAC">
            <w:pPr>
              <w:spacing w:line="276" w:lineRule="auto"/>
              <w:jc w:val="center"/>
              <w:rPr>
                <w:sz w:val="20"/>
                <w:szCs w:val="20"/>
              </w:rPr>
            </w:pPr>
            <w:r w:rsidRPr="00732AAC">
              <w:rPr>
                <w:sz w:val="20"/>
                <w:szCs w:val="20"/>
              </w:rPr>
              <w:t>R</w:t>
            </w:r>
          </w:p>
        </w:tc>
        <w:tc>
          <w:tcPr>
            <w:tcW w:w="3977" w:type="dxa"/>
          </w:tcPr>
          <w:p w14:paraId="4A8D89C4" w14:textId="52D255C9" w:rsidR="00732AAC" w:rsidRPr="00732AAC" w:rsidRDefault="00732AAC" w:rsidP="00C56797">
            <w:pPr>
              <w:spacing w:line="276" w:lineRule="auto"/>
              <w:rPr>
                <w:sz w:val="20"/>
                <w:szCs w:val="20"/>
              </w:rPr>
            </w:pPr>
            <w:r w:rsidRPr="00732AAC">
              <w:rPr>
                <w:sz w:val="20"/>
                <w:szCs w:val="20"/>
              </w:rPr>
              <w:t>Reputation</w:t>
            </w:r>
            <w:r w:rsidR="00C56797">
              <w:rPr>
                <w:sz w:val="20"/>
                <w:szCs w:val="20"/>
              </w:rPr>
              <w:t xml:space="preserve"> </w:t>
            </w:r>
            <w:r w:rsidRPr="00732AAC">
              <w:rPr>
                <w:sz w:val="20"/>
                <w:szCs w:val="20"/>
              </w:rPr>
              <w:t>of the automaker</w:t>
            </w:r>
            <w:r w:rsidR="00C4787C">
              <w:rPr>
                <w:sz w:val="20"/>
                <w:szCs w:val="20"/>
              </w:rPr>
              <w:t xml:space="preserve"> (</w:t>
            </w:r>
            <w:r w:rsidRPr="00732AAC">
              <w:rPr>
                <w:sz w:val="20"/>
                <w:szCs w:val="20"/>
              </w:rPr>
              <w:t xml:space="preserve">Rhee </w:t>
            </w:r>
            <w:r w:rsidR="00C4787C">
              <w:rPr>
                <w:sz w:val="20"/>
                <w:szCs w:val="20"/>
              </w:rPr>
              <w:t xml:space="preserve">&amp; </w:t>
            </w:r>
            <w:r w:rsidRPr="00732AAC">
              <w:rPr>
                <w:sz w:val="20"/>
                <w:szCs w:val="20"/>
              </w:rPr>
              <w:t>Haunschild</w:t>
            </w:r>
            <w:r w:rsidR="00C4787C">
              <w:rPr>
                <w:sz w:val="20"/>
                <w:szCs w:val="20"/>
              </w:rPr>
              <w:t>,</w:t>
            </w:r>
            <w:r w:rsidRPr="00732AAC">
              <w:rPr>
                <w:sz w:val="20"/>
                <w:szCs w:val="20"/>
              </w:rPr>
              <w:t xml:space="preserve"> 2006)</w:t>
            </w:r>
          </w:p>
        </w:tc>
        <w:tc>
          <w:tcPr>
            <w:tcW w:w="1308" w:type="dxa"/>
          </w:tcPr>
          <w:p w14:paraId="32EAFF9E" w14:textId="77777777" w:rsidR="00732AAC" w:rsidRPr="00732AAC" w:rsidRDefault="00732AAC" w:rsidP="00732AAC">
            <w:pPr>
              <w:spacing w:line="276" w:lineRule="auto"/>
              <w:rPr>
                <w:sz w:val="20"/>
                <w:szCs w:val="20"/>
              </w:rPr>
            </w:pPr>
            <w:r>
              <w:rPr>
                <w:sz w:val="20"/>
                <w:szCs w:val="20"/>
              </w:rPr>
              <w:t>Control</w:t>
            </w:r>
          </w:p>
        </w:tc>
        <w:tc>
          <w:tcPr>
            <w:tcW w:w="3283" w:type="dxa"/>
          </w:tcPr>
          <w:p w14:paraId="7C5D1AF3" w14:textId="77777777" w:rsidR="00867631" w:rsidRPr="00F276E7" w:rsidRDefault="00732AAC" w:rsidP="00867631">
            <w:pPr>
              <w:pStyle w:val="ListParagraph"/>
              <w:numPr>
                <w:ilvl w:val="0"/>
                <w:numId w:val="4"/>
              </w:numPr>
              <w:ind w:left="370" w:hanging="284"/>
              <w:rPr>
                <w:rFonts w:ascii="Times New Roman" w:hAnsi="Times New Roman" w:cs="Times New Roman"/>
                <w:sz w:val="20"/>
                <w:szCs w:val="20"/>
              </w:rPr>
            </w:pPr>
            <w:r w:rsidRPr="00F276E7">
              <w:rPr>
                <w:rFonts w:ascii="Times New Roman" w:hAnsi="Times New Roman" w:cs="Times New Roman"/>
                <w:sz w:val="20"/>
                <w:szCs w:val="20"/>
              </w:rPr>
              <w:t>National Automob</w:t>
            </w:r>
            <w:r w:rsidR="00867631" w:rsidRPr="00F276E7">
              <w:rPr>
                <w:rFonts w:ascii="Times New Roman" w:hAnsi="Times New Roman" w:cs="Times New Roman"/>
                <w:sz w:val="20"/>
                <w:szCs w:val="20"/>
              </w:rPr>
              <w:t>ile Dealers Association (NADA)</w:t>
            </w:r>
          </w:p>
          <w:p w14:paraId="1ADFD238" w14:textId="77777777" w:rsidR="00867631" w:rsidRPr="00F276E7" w:rsidRDefault="00867631" w:rsidP="00867631">
            <w:pPr>
              <w:pStyle w:val="ListParagraph"/>
              <w:numPr>
                <w:ilvl w:val="0"/>
                <w:numId w:val="4"/>
              </w:numPr>
              <w:ind w:left="370" w:hanging="284"/>
              <w:rPr>
                <w:rFonts w:ascii="Times New Roman" w:hAnsi="Times New Roman" w:cs="Times New Roman"/>
                <w:sz w:val="20"/>
                <w:szCs w:val="20"/>
              </w:rPr>
            </w:pPr>
            <w:r w:rsidRPr="00F276E7">
              <w:rPr>
                <w:rFonts w:ascii="Times New Roman" w:hAnsi="Times New Roman" w:cs="Times New Roman"/>
                <w:sz w:val="20"/>
                <w:szCs w:val="20"/>
              </w:rPr>
              <w:t>J.D Power and Associates</w:t>
            </w:r>
          </w:p>
          <w:p w14:paraId="17905E3A" w14:textId="77777777" w:rsidR="00732AAC" w:rsidRPr="00F276E7" w:rsidRDefault="00732AAC" w:rsidP="00867631">
            <w:pPr>
              <w:pStyle w:val="ListParagraph"/>
              <w:numPr>
                <w:ilvl w:val="0"/>
                <w:numId w:val="4"/>
              </w:numPr>
              <w:ind w:left="370" w:hanging="284"/>
              <w:rPr>
                <w:rFonts w:ascii="Times New Roman" w:hAnsi="Times New Roman" w:cs="Times New Roman"/>
                <w:sz w:val="20"/>
                <w:szCs w:val="20"/>
              </w:rPr>
            </w:pPr>
            <w:r w:rsidRPr="00F276E7">
              <w:rPr>
                <w:rFonts w:ascii="Times New Roman" w:hAnsi="Times New Roman" w:cs="Times New Roman"/>
                <w:sz w:val="20"/>
                <w:szCs w:val="20"/>
              </w:rPr>
              <w:t>Consumer Reports</w:t>
            </w:r>
          </w:p>
        </w:tc>
      </w:tr>
      <w:tr w:rsidR="00732AAC" w14:paraId="3D4DFF5D" w14:textId="77777777" w:rsidTr="001D53E9">
        <w:trPr>
          <w:trHeight w:val="340"/>
        </w:trPr>
        <w:tc>
          <w:tcPr>
            <w:tcW w:w="1008" w:type="dxa"/>
          </w:tcPr>
          <w:p w14:paraId="56E38A01" w14:textId="77777777" w:rsidR="00732AAC" w:rsidRPr="00732AAC" w:rsidRDefault="00732AAC" w:rsidP="00732AAC">
            <w:pPr>
              <w:spacing w:line="276" w:lineRule="auto"/>
              <w:jc w:val="center"/>
              <w:rPr>
                <w:sz w:val="20"/>
                <w:szCs w:val="20"/>
              </w:rPr>
            </w:pPr>
            <w:r w:rsidRPr="00732AAC">
              <w:rPr>
                <w:sz w:val="20"/>
                <w:szCs w:val="20"/>
              </w:rPr>
              <w:lastRenderedPageBreak/>
              <w:t>A</w:t>
            </w:r>
          </w:p>
        </w:tc>
        <w:tc>
          <w:tcPr>
            <w:tcW w:w="3977" w:type="dxa"/>
          </w:tcPr>
          <w:p w14:paraId="55C8F373" w14:textId="77777777" w:rsidR="00732AAC" w:rsidRDefault="00732AAC" w:rsidP="00732AAC">
            <w:pPr>
              <w:spacing w:line="276" w:lineRule="auto"/>
              <w:rPr>
                <w:sz w:val="20"/>
                <w:szCs w:val="20"/>
              </w:rPr>
            </w:pPr>
            <w:r w:rsidRPr="00732AAC">
              <w:rPr>
                <w:sz w:val="20"/>
                <w:szCs w:val="20"/>
              </w:rPr>
              <w:t>The total number of vehicles potentially impacted by the product recall</w:t>
            </w:r>
          </w:p>
          <w:p w14:paraId="72322AF7" w14:textId="37FF3CB6" w:rsidR="003810DF" w:rsidRPr="00732AAC" w:rsidRDefault="003810DF" w:rsidP="00732AAC">
            <w:pPr>
              <w:spacing w:line="276" w:lineRule="auto"/>
              <w:rPr>
                <w:sz w:val="20"/>
                <w:szCs w:val="20"/>
              </w:rPr>
            </w:pPr>
          </w:p>
        </w:tc>
        <w:tc>
          <w:tcPr>
            <w:tcW w:w="1308" w:type="dxa"/>
          </w:tcPr>
          <w:p w14:paraId="09A7476F" w14:textId="77777777" w:rsidR="00732AAC" w:rsidRPr="00732AAC" w:rsidRDefault="00732AAC" w:rsidP="00732AAC">
            <w:pPr>
              <w:spacing w:line="276" w:lineRule="auto"/>
              <w:rPr>
                <w:sz w:val="20"/>
                <w:szCs w:val="20"/>
              </w:rPr>
            </w:pPr>
            <w:r>
              <w:rPr>
                <w:sz w:val="20"/>
                <w:szCs w:val="20"/>
              </w:rPr>
              <w:t>Control</w:t>
            </w:r>
          </w:p>
        </w:tc>
        <w:tc>
          <w:tcPr>
            <w:tcW w:w="3283" w:type="dxa"/>
          </w:tcPr>
          <w:p w14:paraId="716C30FB" w14:textId="77777777" w:rsidR="00867631" w:rsidRPr="00F276E7" w:rsidRDefault="00732AAC" w:rsidP="00867631">
            <w:pPr>
              <w:pStyle w:val="ListParagraph"/>
              <w:numPr>
                <w:ilvl w:val="0"/>
                <w:numId w:val="4"/>
              </w:numPr>
              <w:ind w:left="370" w:hanging="284"/>
              <w:rPr>
                <w:rFonts w:ascii="Times New Roman" w:hAnsi="Times New Roman" w:cs="Times New Roman"/>
                <w:sz w:val="20"/>
                <w:szCs w:val="20"/>
              </w:rPr>
            </w:pPr>
            <w:r w:rsidRPr="00F276E7">
              <w:rPr>
                <w:rFonts w:ascii="Times New Roman" w:hAnsi="Times New Roman" w:cs="Times New Roman"/>
                <w:sz w:val="20"/>
                <w:szCs w:val="20"/>
              </w:rPr>
              <w:t xml:space="preserve">NHTSA </w:t>
            </w:r>
          </w:p>
          <w:p w14:paraId="5EA00E35" w14:textId="0FE564D9" w:rsidR="00732AAC" w:rsidRPr="00F276E7" w:rsidRDefault="00FB699C" w:rsidP="00867631">
            <w:pPr>
              <w:pStyle w:val="ListParagraph"/>
              <w:numPr>
                <w:ilvl w:val="0"/>
                <w:numId w:val="4"/>
              </w:numPr>
              <w:ind w:left="370" w:hanging="284"/>
              <w:rPr>
                <w:rFonts w:ascii="Times New Roman" w:hAnsi="Times New Roman" w:cs="Times New Roman"/>
                <w:sz w:val="20"/>
                <w:szCs w:val="20"/>
              </w:rPr>
            </w:pPr>
            <w:r w:rsidRPr="00F276E7">
              <w:rPr>
                <w:rFonts w:ascii="Times New Roman" w:hAnsi="Times New Roman" w:cs="Times New Roman"/>
                <w:sz w:val="20"/>
                <w:szCs w:val="20"/>
              </w:rPr>
              <w:t>DVSA</w:t>
            </w:r>
          </w:p>
        </w:tc>
      </w:tr>
      <w:tr w:rsidR="00732AAC" w14:paraId="15BAF852" w14:textId="77777777" w:rsidTr="001D53E9">
        <w:trPr>
          <w:trHeight w:val="340"/>
        </w:trPr>
        <w:tc>
          <w:tcPr>
            <w:tcW w:w="1008" w:type="dxa"/>
            <w:tcBorders>
              <w:bottom w:val="single" w:sz="4" w:space="0" w:color="auto"/>
            </w:tcBorders>
          </w:tcPr>
          <w:p w14:paraId="744A7324" w14:textId="77777777" w:rsidR="00732AAC" w:rsidRPr="00732AAC" w:rsidRDefault="00732AAC" w:rsidP="00732AAC">
            <w:pPr>
              <w:spacing w:line="276" w:lineRule="auto"/>
              <w:jc w:val="center"/>
              <w:rPr>
                <w:sz w:val="20"/>
                <w:szCs w:val="20"/>
              </w:rPr>
            </w:pPr>
            <w:r w:rsidRPr="00732AAC">
              <w:rPr>
                <w:sz w:val="20"/>
                <w:szCs w:val="20"/>
              </w:rPr>
              <w:t>SV</w:t>
            </w:r>
          </w:p>
        </w:tc>
        <w:tc>
          <w:tcPr>
            <w:tcW w:w="3977" w:type="dxa"/>
            <w:tcBorders>
              <w:bottom w:val="single" w:sz="4" w:space="0" w:color="auto"/>
            </w:tcBorders>
          </w:tcPr>
          <w:p w14:paraId="67301C8B" w14:textId="77777777" w:rsidR="00732AAC" w:rsidRPr="00732AAC" w:rsidRDefault="00732AAC" w:rsidP="00732AAC">
            <w:pPr>
              <w:spacing w:line="276" w:lineRule="auto"/>
              <w:rPr>
                <w:sz w:val="20"/>
                <w:szCs w:val="20"/>
              </w:rPr>
            </w:pPr>
            <w:r w:rsidRPr="00732AAC">
              <w:rPr>
                <w:sz w:val="20"/>
                <w:szCs w:val="20"/>
              </w:rPr>
              <w:t>The severity of the recall as coded from the recall announcement</w:t>
            </w:r>
          </w:p>
        </w:tc>
        <w:tc>
          <w:tcPr>
            <w:tcW w:w="1308" w:type="dxa"/>
            <w:tcBorders>
              <w:bottom w:val="single" w:sz="4" w:space="0" w:color="auto"/>
            </w:tcBorders>
          </w:tcPr>
          <w:p w14:paraId="3BC3F310" w14:textId="77777777" w:rsidR="00732AAC" w:rsidRPr="00732AAC" w:rsidRDefault="00732AAC" w:rsidP="00732AAC">
            <w:pPr>
              <w:spacing w:line="276" w:lineRule="auto"/>
              <w:rPr>
                <w:sz w:val="20"/>
                <w:szCs w:val="20"/>
              </w:rPr>
            </w:pPr>
            <w:r>
              <w:rPr>
                <w:sz w:val="20"/>
                <w:szCs w:val="20"/>
              </w:rPr>
              <w:t>Control</w:t>
            </w:r>
          </w:p>
        </w:tc>
        <w:tc>
          <w:tcPr>
            <w:tcW w:w="3283" w:type="dxa"/>
            <w:tcBorders>
              <w:bottom w:val="single" w:sz="4" w:space="0" w:color="auto"/>
            </w:tcBorders>
          </w:tcPr>
          <w:p w14:paraId="67507C3C" w14:textId="14616806" w:rsidR="00732AAC" w:rsidRPr="00F276E7" w:rsidRDefault="00732AAC" w:rsidP="00867631">
            <w:pPr>
              <w:pStyle w:val="ListParagraph"/>
              <w:numPr>
                <w:ilvl w:val="0"/>
                <w:numId w:val="4"/>
              </w:numPr>
              <w:ind w:left="370" w:hanging="284"/>
              <w:rPr>
                <w:rFonts w:ascii="Times New Roman" w:hAnsi="Times New Roman" w:cs="Times New Roman"/>
                <w:sz w:val="20"/>
                <w:szCs w:val="20"/>
              </w:rPr>
            </w:pPr>
            <w:r w:rsidRPr="00F276E7">
              <w:rPr>
                <w:rFonts w:ascii="Times New Roman" w:hAnsi="Times New Roman" w:cs="Times New Roman"/>
                <w:sz w:val="20"/>
                <w:szCs w:val="20"/>
              </w:rPr>
              <w:t xml:space="preserve">NHTSA and </w:t>
            </w:r>
            <w:r w:rsidR="00FB699C" w:rsidRPr="00F276E7">
              <w:rPr>
                <w:rFonts w:ascii="Times New Roman" w:hAnsi="Times New Roman" w:cs="Times New Roman"/>
                <w:sz w:val="20"/>
                <w:szCs w:val="20"/>
              </w:rPr>
              <w:t>DVSA</w:t>
            </w:r>
            <w:r w:rsidRPr="00F276E7">
              <w:rPr>
                <w:rFonts w:ascii="Times New Roman" w:hAnsi="Times New Roman" w:cs="Times New Roman"/>
                <w:sz w:val="20"/>
                <w:szCs w:val="20"/>
              </w:rPr>
              <w:t xml:space="preserve"> recall announcements coded by independent coders</w:t>
            </w:r>
          </w:p>
        </w:tc>
      </w:tr>
    </w:tbl>
    <w:p w14:paraId="164A7DC0" w14:textId="272308E0" w:rsidR="00261040" w:rsidRPr="00F276E7" w:rsidRDefault="00E02526" w:rsidP="00DC3F75">
      <w:pPr>
        <w:jc w:val="center"/>
        <w:rPr>
          <w:b/>
          <w:sz w:val="22"/>
          <w:szCs w:val="22"/>
        </w:rPr>
      </w:pPr>
      <w:r>
        <w:rPr>
          <w:b/>
        </w:rPr>
        <w:br w:type="page"/>
      </w:r>
      <w:r w:rsidR="00261040" w:rsidRPr="00F276E7">
        <w:rPr>
          <w:b/>
          <w:sz w:val="22"/>
          <w:szCs w:val="22"/>
        </w:rPr>
        <w:lastRenderedPageBreak/>
        <w:t>T</w:t>
      </w:r>
      <w:r w:rsidR="00422366" w:rsidRPr="00F276E7">
        <w:rPr>
          <w:b/>
          <w:sz w:val="22"/>
          <w:szCs w:val="22"/>
        </w:rPr>
        <w:t>ABLE</w:t>
      </w:r>
      <w:r w:rsidR="00261040" w:rsidRPr="00F276E7">
        <w:rPr>
          <w:b/>
          <w:sz w:val="22"/>
          <w:szCs w:val="22"/>
        </w:rPr>
        <w:t xml:space="preserve"> </w:t>
      </w:r>
      <w:r w:rsidR="00EC29BB" w:rsidRPr="00F276E7">
        <w:rPr>
          <w:b/>
          <w:sz w:val="22"/>
          <w:szCs w:val="22"/>
        </w:rPr>
        <w:t>3</w:t>
      </w:r>
      <w:r w:rsidR="00261040" w:rsidRPr="00F276E7">
        <w:rPr>
          <w:b/>
          <w:sz w:val="22"/>
          <w:szCs w:val="22"/>
        </w:rPr>
        <w:t xml:space="preserve"> </w:t>
      </w:r>
      <w:r w:rsidR="00422366" w:rsidRPr="00F276E7">
        <w:rPr>
          <w:b/>
          <w:sz w:val="22"/>
          <w:szCs w:val="22"/>
        </w:rPr>
        <w:t>–</w:t>
      </w:r>
      <w:r w:rsidR="00261040" w:rsidRPr="00F276E7">
        <w:rPr>
          <w:b/>
          <w:sz w:val="22"/>
          <w:szCs w:val="22"/>
        </w:rPr>
        <w:t xml:space="preserve"> </w:t>
      </w:r>
      <w:r w:rsidR="00422366" w:rsidRPr="00F276E7">
        <w:rPr>
          <w:b/>
          <w:sz w:val="22"/>
          <w:szCs w:val="22"/>
        </w:rPr>
        <w:t xml:space="preserve">NUMBER OF TIMES STANDARDIZED </w:t>
      </w:r>
      <w:r w:rsidR="00422366" w:rsidRPr="00F276E7">
        <w:rPr>
          <w:b/>
          <w:i/>
          <w:iCs/>
          <w:sz w:val="22"/>
          <w:szCs w:val="22"/>
        </w:rPr>
        <w:t>VERSUS</w:t>
      </w:r>
      <w:r w:rsidR="00422366" w:rsidRPr="00F276E7">
        <w:rPr>
          <w:b/>
          <w:sz w:val="22"/>
          <w:szCs w:val="22"/>
        </w:rPr>
        <w:t xml:space="preserve"> CUSTOMIZED </w:t>
      </w:r>
      <w:r w:rsidR="00623369" w:rsidRPr="00F276E7">
        <w:rPr>
          <w:b/>
          <w:sz w:val="22"/>
          <w:szCs w:val="22"/>
        </w:rPr>
        <w:t xml:space="preserve">NEW </w:t>
      </w:r>
      <w:r w:rsidR="00422366" w:rsidRPr="00F276E7">
        <w:rPr>
          <w:b/>
          <w:sz w:val="22"/>
          <w:szCs w:val="22"/>
        </w:rPr>
        <w:t>VEHICLES WERE RECALLED*</w:t>
      </w:r>
    </w:p>
    <w:p w14:paraId="57C1E0D6" w14:textId="77777777" w:rsidR="00DF5913" w:rsidRPr="00F276E7" w:rsidRDefault="00DF5913" w:rsidP="00DC3F75">
      <w:pPr>
        <w:jc w:val="center"/>
        <w:rPr>
          <w:b/>
          <w:sz w:val="22"/>
          <w:szCs w:val="22"/>
        </w:rPr>
      </w:pPr>
    </w:p>
    <w:tbl>
      <w:tblPr>
        <w:tblStyle w:val="TableGrid"/>
        <w:tblW w:w="0" w:type="auto"/>
        <w:tblInd w:w="1101" w:type="dxa"/>
        <w:tblLook w:val="04A0" w:firstRow="1" w:lastRow="0" w:firstColumn="1" w:lastColumn="0" w:noHBand="0" w:noVBand="1"/>
      </w:tblPr>
      <w:tblGrid>
        <w:gridCol w:w="1935"/>
        <w:gridCol w:w="1985"/>
        <w:gridCol w:w="2175"/>
      </w:tblGrid>
      <w:tr w:rsidR="00261040" w:rsidRPr="00DF5913" w14:paraId="27EA958E" w14:textId="77777777" w:rsidTr="00FD7D75">
        <w:tc>
          <w:tcPr>
            <w:tcW w:w="1935" w:type="dxa"/>
            <w:shd w:val="clear" w:color="auto" w:fill="D9D9D9" w:themeFill="background1" w:themeFillShade="D9"/>
          </w:tcPr>
          <w:p w14:paraId="42C6ED9D" w14:textId="77777777" w:rsidR="00261040" w:rsidRPr="00F276E7" w:rsidRDefault="00261040" w:rsidP="003D714C">
            <w:pPr>
              <w:jc w:val="center"/>
              <w:rPr>
                <w:b/>
                <w:sz w:val="22"/>
                <w:szCs w:val="22"/>
              </w:rPr>
            </w:pPr>
            <w:r w:rsidRPr="00F276E7">
              <w:rPr>
                <w:b/>
                <w:sz w:val="22"/>
                <w:szCs w:val="22"/>
              </w:rPr>
              <w:t>Country</w:t>
            </w:r>
          </w:p>
        </w:tc>
        <w:tc>
          <w:tcPr>
            <w:tcW w:w="1985" w:type="dxa"/>
            <w:shd w:val="clear" w:color="auto" w:fill="D9D9D9" w:themeFill="background1" w:themeFillShade="D9"/>
          </w:tcPr>
          <w:p w14:paraId="64968915" w14:textId="77777777" w:rsidR="00261040" w:rsidRPr="00F276E7" w:rsidRDefault="00261040" w:rsidP="0024403A">
            <w:pPr>
              <w:jc w:val="center"/>
              <w:rPr>
                <w:b/>
                <w:sz w:val="22"/>
                <w:szCs w:val="22"/>
              </w:rPr>
            </w:pPr>
            <w:r w:rsidRPr="00F276E7">
              <w:rPr>
                <w:b/>
                <w:sz w:val="22"/>
                <w:szCs w:val="22"/>
              </w:rPr>
              <w:t>Standardized</w:t>
            </w:r>
          </w:p>
        </w:tc>
        <w:tc>
          <w:tcPr>
            <w:tcW w:w="2175" w:type="dxa"/>
            <w:shd w:val="clear" w:color="auto" w:fill="D9D9D9" w:themeFill="background1" w:themeFillShade="D9"/>
          </w:tcPr>
          <w:p w14:paraId="7E15DDCA" w14:textId="77777777" w:rsidR="00261040" w:rsidRPr="00F276E7" w:rsidRDefault="00261040" w:rsidP="0024403A">
            <w:pPr>
              <w:jc w:val="center"/>
              <w:rPr>
                <w:b/>
                <w:sz w:val="22"/>
                <w:szCs w:val="22"/>
              </w:rPr>
            </w:pPr>
            <w:r w:rsidRPr="00F276E7">
              <w:rPr>
                <w:b/>
                <w:sz w:val="22"/>
                <w:szCs w:val="22"/>
              </w:rPr>
              <w:t>Customized</w:t>
            </w:r>
          </w:p>
        </w:tc>
      </w:tr>
      <w:tr w:rsidR="000E2215" w:rsidRPr="00DF5913" w14:paraId="2C650E38" w14:textId="77777777" w:rsidTr="00FD7D75">
        <w:tc>
          <w:tcPr>
            <w:tcW w:w="1935" w:type="dxa"/>
            <w:shd w:val="clear" w:color="auto" w:fill="F2F2F2" w:themeFill="background1" w:themeFillShade="F2"/>
          </w:tcPr>
          <w:p w14:paraId="6D783622" w14:textId="15F60896" w:rsidR="000E2215" w:rsidRPr="00F276E7" w:rsidRDefault="000A1B0A" w:rsidP="00261040">
            <w:pPr>
              <w:rPr>
                <w:b/>
                <w:sz w:val="22"/>
                <w:szCs w:val="22"/>
              </w:rPr>
            </w:pPr>
            <w:r w:rsidRPr="00F276E7">
              <w:rPr>
                <w:b/>
                <w:sz w:val="22"/>
                <w:szCs w:val="22"/>
              </w:rPr>
              <w:t>U.K</w:t>
            </w:r>
          </w:p>
        </w:tc>
        <w:tc>
          <w:tcPr>
            <w:tcW w:w="1985" w:type="dxa"/>
            <w:vMerge w:val="restart"/>
          </w:tcPr>
          <w:p w14:paraId="37C1B67B" w14:textId="0051FB5C" w:rsidR="000E2215" w:rsidRPr="00F276E7" w:rsidRDefault="000E2215" w:rsidP="000E2215">
            <w:pPr>
              <w:jc w:val="center"/>
              <w:rPr>
                <w:sz w:val="22"/>
                <w:szCs w:val="22"/>
              </w:rPr>
            </w:pPr>
            <w:r w:rsidRPr="00F276E7">
              <w:rPr>
                <w:sz w:val="22"/>
                <w:szCs w:val="22"/>
              </w:rPr>
              <w:t xml:space="preserve"> </w:t>
            </w:r>
            <w:r w:rsidR="00F64DF2" w:rsidRPr="00F276E7">
              <w:rPr>
                <w:sz w:val="22"/>
                <w:szCs w:val="22"/>
              </w:rPr>
              <w:t>76</w:t>
            </w:r>
          </w:p>
        </w:tc>
        <w:tc>
          <w:tcPr>
            <w:tcW w:w="2175" w:type="dxa"/>
          </w:tcPr>
          <w:p w14:paraId="1D82578A" w14:textId="64249C9C" w:rsidR="000E2215" w:rsidRPr="00F276E7" w:rsidRDefault="00B806B3" w:rsidP="00261040">
            <w:pPr>
              <w:jc w:val="center"/>
              <w:rPr>
                <w:sz w:val="22"/>
                <w:szCs w:val="22"/>
              </w:rPr>
            </w:pPr>
            <w:r w:rsidRPr="00F276E7">
              <w:rPr>
                <w:sz w:val="22"/>
                <w:szCs w:val="22"/>
              </w:rPr>
              <w:t>96</w:t>
            </w:r>
          </w:p>
        </w:tc>
      </w:tr>
      <w:tr w:rsidR="000E2215" w:rsidRPr="00DF5913" w14:paraId="178F01D9" w14:textId="77777777" w:rsidTr="00FD7D75">
        <w:tc>
          <w:tcPr>
            <w:tcW w:w="1935" w:type="dxa"/>
            <w:shd w:val="clear" w:color="auto" w:fill="F2F2F2" w:themeFill="background1" w:themeFillShade="F2"/>
          </w:tcPr>
          <w:p w14:paraId="3BDF3FF4" w14:textId="1AB411A0" w:rsidR="000E2215" w:rsidRPr="00F276E7" w:rsidRDefault="000A1B0A" w:rsidP="00261040">
            <w:pPr>
              <w:rPr>
                <w:b/>
                <w:sz w:val="22"/>
                <w:szCs w:val="22"/>
              </w:rPr>
            </w:pPr>
            <w:r w:rsidRPr="00F276E7">
              <w:rPr>
                <w:b/>
                <w:sz w:val="22"/>
                <w:szCs w:val="22"/>
              </w:rPr>
              <w:t>U.S</w:t>
            </w:r>
          </w:p>
        </w:tc>
        <w:tc>
          <w:tcPr>
            <w:tcW w:w="1985" w:type="dxa"/>
            <w:vMerge/>
          </w:tcPr>
          <w:p w14:paraId="7EA543A9" w14:textId="5BD811D5" w:rsidR="000E2215" w:rsidRPr="00F276E7" w:rsidRDefault="000E2215" w:rsidP="00261040">
            <w:pPr>
              <w:jc w:val="center"/>
              <w:rPr>
                <w:sz w:val="22"/>
                <w:szCs w:val="22"/>
              </w:rPr>
            </w:pPr>
          </w:p>
        </w:tc>
        <w:tc>
          <w:tcPr>
            <w:tcW w:w="2175" w:type="dxa"/>
          </w:tcPr>
          <w:p w14:paraId="2521AA4D" w14:textId="6B99029C" w:rsidR="000E2215" w:rsidRPr="00F276E7" w:rsidRDefault="000E2215" w:rsidP="00261040">
            <w:pPr>
              <w:jc w:val="center"/>
              <w:rPr>
                <w:sz w:val="22"/>
                <w:szCs w:val="22"/>
              </w:rPr>
            </w:pPr>
            <w:r w:rsidRPr="00F276E7">
              <w:rPr>
                <w:sz w:val="22"/>
                <w:szCs w:val="22"/>
              </w:rPr>
              <w:t>1</w:t>
            </w:r>
            <w:r w:rsidR="00B806B3" w:rsidRPr="00F276E7">
              <w:rPr>
                <w:sz w:val="22"/>
                <w:szCs w:val="22"/>
              </w:rPr>
              <w:t>33</w:t>
            </w:r>
          </w:p>
        </w:tc>
      </w:tr>
    </w:tbl>
    <w:p w14:paraId="6446AC4F" w14:textId="77777777" w:rsidR="00867631" w:rsidRPr="00F276E7" w:rsidRDefault="00867631" w:rsidP="00867631">
      <w:pPr>
        <w:rPr>
          <w:sz w:val="22"/>
          <w:szCs w:val="22"/>
        </w:rPr>
      </w:pPr>
    </w:p>
    <w:p w14:paraId="064D41AC" w14:textId="30FD79AF" w:rsidR="00FD1901" w:rsidRPr="00F276E7" w:rsidRDefault="00A95FAC" w:rsidP="00FD7D75">
      <w:pPr>
        <w:rPr>
          <w:sz w:val="22"/>
          <w:szCs w:val="22"/>
        </w:rPr>
      </w:pPr>
      <w:r w:rsidRPr="00F276E7">
        <w:rPr>
          <w:sz w:val="22"/>
          <w:szCs w:val="22"/>
        </w:rPr>
        <w:t>*The table above indicates how many times vehicle</w:t>
      </w:r>
      <w:r w:rsidR="00867631" w:rsidRPr="00F276E7">
        <w:rPr>
          <w:sz w:val="22"/>
          <w:szCs w:val="22"/>
        </w:rPr>
        <w:t>s</w:t>
      </w:r>
      <w:r w:rsidRPr="00F276E7">
        <w:rPr>
          <w:sz w:val="22"/>
          <w:szCs w:val="22"/>
        </w:rPr>
        <w:t xml:space="preserve"> w</w:t>
      </w:r>
      <w:r w:rsidR="00867631" w:rsidRPr="00F276E7">
        <w:rPr>
          <w:sz w:val="22"/>
          <w:szCs w:val="22"/>
        </w:rPr>
        <w:t xml:space="preserve">ere </w:t>
      </w:r>
      <w:r w:rsidRPr="00F276E7">
        <w:rPr>
          <w:sz w:val="22"/>
          <w:szCs w:val="22"/>
        </w:rPr>
        <w:t>recalled</w:t>
      </w:r>
      <w:r w:rsidR="00867631" w:rsidRPr="00F276E7">
        <w:rPr>
          <w:sz w:val="22"/>
          <w:szCs w:val="22"/>
        </w:rPr>
        <w:t xml:space="preserve"> during our study period</w:t>
      </w:r>
      <w:r w:rsidR="00505254" w:rsidRPr="00F276E7">
        <w:rPr>
          <w:sz w:val="22"/>
          <w:szCs w:val="22"/>
        </w:rPr>
        <w:t>;</w:t>
      </w:r>
      <w:r w:rsidRPr="00F276E7">
        <w:rPr>
          <w:sz w:val="22"/>
          <w:szCs w:val="22"/>
        </w:rPr>
        <w:t xml:space="preserve"> some vehicles were recalled multiple times.</w:t>
      </w:r>
    </w:p>
    <w:p w14:paraId="0FE7C7CF" w14:textId="77777777" w:rsidR="00DF5913" w:rsidRPr="00F276E7" w:rsidRDefault="00DF5913" w:rsidP="00EB0EAE">
      <w:pPr>
        <w:jc w:val="center"/>
        <w:rPr>
          <w:sz w:val="22"/>
          <w:szCs w:val="22"/>
        </w:rPr>
      </w:pPr>
    </w:p>
    <w:p w14:paraId="6FE0539A" w14:textId="77777777" w:rsidR="001E3D76" w:rsidRPr="00F276E7" w:rsidRDefault="001E3D76" w:rsidP="00FD1901">
      <w:pPr>
        <w:rPr>
          <w:sz w:val="22"/>
          <w:szCs w:val="22"/>
        </w:rPr>
      </w:pPr>
    </w:p>
    <w:p w14:paraId="28D50C65" w14:textId="0142D213" w:rsidR="00777D90" w:rsidRPr="00F276E7" w:rsidRDefault="00FD1901" w:rsidP="00EB0EAE">
      <w:pPr>
        <w:jc w:val="center"/>
        <w:rPr>
          <w:b/>
          <w:sz w:val="22"/>
          <w:szCs w:val="22"/>
        </w:rPr>
      </w:pPr>
      <w:r w:rsidRPr="00F276E7">
        <w:rPr>
          <w:b/>
          <w:sz w:val="22"/>
          <w:szCs w:val="22"/>
        </w:rPr>
        <w:t>T</w:t>
      </w:r>
      <w:r w:rsidR="00422366" w:rsidRPr="00F276E7">
        <w:rPr>
          <w:b/>
          <w:sz w:val="22"/>
          <w:szCs w:val="22"/>
        </w:rPr>
        <w:t>ABLE</w:t>
      </w:r>
      <w:r w:rsidRPr="00F276E7">
        <w:rPr>
          <w:b/>
          <w:sz w:val="22"/>
          <w:szCs w:val="22"/>
        </w:rPr>
        <w:t xml:space="preserve"> </w:t>
      </w:r>
      <w:r w:rsidR="00EC29BB" w:rsidRPr="00F276E7">
        <w:rPr>
          <w:b/>
          <w:sz w:val="22"/>
          <w:szCs w:val="22"/>
        </w:rPr>
        <w:t>4</w:t>
      </w:r>
      <w:r w:rsidR="00777D90" w:rsidRPr="00F276E7">
        <w:rPr>
          <w:b/>
          <w:sz w:val="22"/>
          <w:szCs w:val="22"/>
        </w:rPr>
        <w:t xml:space="preserve"> </w:t>
      </w:r>
      <w:r w:rsidR="00422366" w:rsidRPr="00F276E7">
        <w:rPr>
          <w:b/>
          <w:sz w:val="22"/>
          <w:szCs w:val="22"/>
        </w:rPr>
        <w:t>–</w:t>
      </w:r>
      <w:r w:rsidR="00777D90" w:rsidRPr="00F276E7">
        <w:rPr>
          <w:b/>
          <w:sz w:val="22"/>
          <w:szCs w:val="22"/>
        </w:rPr>
        <w:t xml:space="preserve"> </w:t>
      </w:r>
      <w:r w:rsidR="00422366" w:rsidRPr="00F276E7">
        <w:rPr>
          <w:b/>
          <w:sz w:val="22"/>
          <w:szCs w:val="22"/>
        </w:rPr>
        <w:t xml:space="preserve">LEVEL OF GENERALISM OF AUTOMAKERS IN THE STUDY SAMPLE* </w:t>
      </w:r>
    </w:p>
    <w:p w14:paraId="1031C953" w14:textId="77777777" w:rsidR="00DF5913" w:rsidRPr="00F276E7" w:rsidRDefault="00DF5913" w:rsidP="00EB0EAE">
      <w:pPr>
        <w:jc w:val="center"/>
        <w:rPr>
          <w:b/>
          <w:sz w:val="22"/>
          <w:szCs w:val="22"/>
        </w:rPr>
      </w:pPr>
    </w:p>
    <w:tbl>
      <w:tblPr>
        <w:tblStyle w:val="TableGrid"/>
        <w:tblW w:w="0" w:type="auto"/>
        <w:jc w:val="center"/>
        <w:tblLook w:val="04A0" w:firstRow="1" w:lastRow="0" w:firstColumn="1" w:lastColumn="0" w:noHBand="0" w:noVBand="1"/>
      </w:tblPr>
      <w:tblGrid>
        <w:gridCol w:w="2348"/>
        <w:gridCol w:w="2336"/>
        <w:gridCol w:w="2336"/>
      </w:tblGrid>
      <w:tr w:rsidR="00427E8C" w:rsidRPr="00DF5913" w14:paraId="197512F9" w14:textId="77777777" w:rsidTr="00427E8C">
        <w:trPr>
          <w:jc w:val="center"/>
        </w:trPr>
        <w:tc>
          <w:tcPr>
            <w:tcW w:w="2348" w:type="dxa"/>
            <w:tcBorders>
              <w:top w:val="nil"/>
              <w:left w:val="nil"/>
              <w:bottom w:val="single" w:sz="4" w:space="0" w:color="auto"/>
              <w:right w:val="single" w:sz="4" w:space="0" w:color="auto"/>
            </w:tcBorders>
            <w:shd w:val="clear" w:color="auto" w:fill="auto"/>
          </w:tcPr>
          <w:p w14:paraId="0DFE94F9" w14:textId="77777777" w:rsidR="00427E8C" w:rsidRPr="00F276E7" w:rsidRDefault="00427E8C" w:rsidP="00EB0EAE">
            <w:pPr>
              <w:jc w:val="center"/>
              <w:rPr>
                <w:b/>
                <w:sz w:val="22"/>
                <w:szCs w:val="22"/>
              </w:rPr>
            </w:pPr>
          </w:p>
        </w:tc>
        <w:tc>
          <w:tcPr>
            <w:tcW w:w="4672" w:type="dxa"/>
            <w:gridSpan w:val="2"/>
            <w:tcBorders>
              <w:left w:val="single" w:sz="4" w:space="0" w:color="auto"/>
            </w:tcBorders>
            <w:shd w:val="clear" w:color="auto" w:fill="D9D9D9" w:themeFill="background1" w:themeFillShade="D9"/>
          </w:tcPr>
          <w:p w14:paraId="47FEEA73" w14:textId="556B7F5B" w:rsidR="00427E8C" w:rsidRPr="00F276E7" w:rsidRDefault="00427E8C" w:rsidP="00F276E7">
            <w:pPr>
              <w:spacing w:before="120" w:after="120"/>
              <w:jc w:val="center"/>
              <w:rPr>
                <w:b/>
                <w:sz w:val="22"/>
                <w:szCs w:val="22"/>
              </w:rPr>
            </w:pPr>
            <w:r w:rsidRPr="00F276E7">
              <w:rPr>
                <w:b/>
                <w:sz w:val="22"/>
                <w:szCs w:val="22"/>
              </w:rPr>
              <w:t xml:space="preserve">Level of </w:t>
            </w:r>
            <w:proofErr w:type="spellStart"/>
            <w:r w:rsidRPr="00F276E7">
              <w:rPr>
                <w:b/>
                <w:sz w:val="22"/>
                <w:szCs w:val="22"/>
              </w:rPr>
              <w:t>Generalism</w:t>
            </w:r>
            <w:proofErr w:type="spellEnd"/>
          </w:p>
        </w:tc>
      </w:tr>
      <w:tr w:rsidR="00427E8C" w:rsidRPr="00DF5913" w14:paraId="7D5DE95F" w14:textId="77777777" w:rsidTr="00427E8C">
        <w:trPr>
          <w:jc w:val="center"/>
        </w:trPr>
        <w:tc>
          <w:tcPr>
            <w:tcW w:w="2348" w:type="dxa"/>
            <w:tcBorders>
              <w:top w:val="single" w:sz="4" w:space="0" w:color="auto"/>
            </w:tcBorders>
            <w:shd w:val="clear" w:color="auto" w:fill="D9D9D9" w:themeFill="background1" w:themeFillShade="D9"/>
          </w:tcPr>
          <w:p w14:paraId="2E1A2D48" w14:textId="77777777" w:rsidR="00427E8C" w:rsidRPr="00F276E7" w:rsidRDefault="00427E8C" w:rsidP="00F276E7">
            <w:pPr>
              <w:spacing w:before="120" w:after="120"/>
              <w:jc w:val="center"/>
              <w:rPr>
                <w:b/>
                <w:sz w:val="22"/>
                <w:szCs w:val="22"/>
              </w:rPr>
            </w:pPr>
            <w:r w:rsidRPr="00F276E7">
              <w:rPr>
                <w:b/>
                <w:sz w:val="22"/>
                <w:szCs w:val="22"/>
              </w:rPr>
              <w:t>Automaker</w:t>
            </w:r>
          </w:p>
        </w:tc>
        <w:tc>
          <w:tcPr>
            <w:tcW w:w="2336" w:type="dxa"/>
            <w:shd w:val="clear" w:color="auto" w:fill="D9D9D9" w:themeFill="background1" w:themeFillShade="D9"/>
          </w:tcPr>
          <w:p w14:paraId="0A7A3A13" w14:textId="77777777" w:rsidR="00427E8C" w:rsidRPr="00F276E7" w:rsidRDefault="00427E8C" w:rsidP="00F276E7">
            <w:pPr>
              <w:spacing w:before="120" w:after="120"/>
              <w:jc w:val="center"/>
              <w:rPr>
                <w:b/>
                <w:sz w:val="22"/>
                <w:szCs w:val="22"/>
              </w:rPr>
            </w:pPr>
            <w:r w:rsidRPr="00F276E7">
              <w:rPr>
                <w:b/>
                <w:sz w:val="22"/>
                <w:szCs w:val="22"/>
              </w:rPr>
              <w:t>U.K.</w:t>
            </w:r>
          </w:p>
        </w:tc>
        <w:tc>
          <w:tcPr>
            <w:tcW w:w="2336" w:type="dxa"/>
            <w:shd w:val="clear" w:color="auto" w:fill="D9D9D9" w:themeFill="background1" w:themeFillShade="D9"/>
          </w:tcPr>
          <w:p w14:paraId="0E12AC05" w14:textId="77777777" w:rsidR="00427E8C" w:rsidRPr="00F276E7" w:rsidRDefault="00427E8C" w:rsidP="00F276E7">
            <w:pPr>
              <w:spacing w:before="120" w:after="120"/>
              <w:jc w:val="center"/>
              <w:rPr>
                <w:b/>
                <w:sz w:val="22"/>
                <w:szCs w:val="22"/>
              </w:rPr>
            </w:pPr>
            <w:r w:rsidRPr="00F276E7">
              <w:rPr>
                <w:b/>
                <w:sz w:val="22"/>
                <w:szCs w:val="22"/>
              </w:rPr>
              <w:t>U.S.</w:t>
            </w:r>
          </w:p>
        </w:tc>
      </w:tr>
      <w:tr w:rsidR="00427E8C" w:rsidRPr="00DF5913" w14:paraId="44C53C08" w14:textId="77777777" w:rsidTr="00427E8C">
        <w:trPr>
          <w:jc w:val="center"/>
        </w:trPr>
        <w:tc>
          <w:tcPr>
            <w:tcW w:w="2348" w:type="dxa"/>
            <w:shd w:val="clear" w:color="auto" w:fill="auto"/>
          </w:tcPr>
          <w:p w14:paraId="16CECC23" w14:textId="77777777" w:rsidR="00427E8C" w:rsidRPr="00F276E7" w:rsidRDefault="00427E8C" w:rsidP="00EB0EAE">
            <w:pPr>
              <w:jc w:val="center"/>
              <w:rPr>
                <w:sz w:val="22"/>
                <w:szCs w:val="22"/>
              </w:rPr>
            </w:pPr>
            <w:r w:rsidRPr="00F276E7">
              <w:rPr>
                <w:sz w:val="22"/>
                <w:szCs w:val="22"/>
              </w:rPr>
              <w:t>Audi</w:t>
            </w:r>
          </w:p>
        </w:tc>
        <w:tc>
          <w:tcPr>
            <w:tcW w:w="2336" w:type="dxa"/>
          </w:tcPr>
          <w:p w14:paraId="663C9FEA" w14:textId="77777777" w:rsidR="00427E8C" w:rsidRPr="00F276E7" w:rsidRDefault="00427E8C" w:rsidP="00EB0EAE">
            <w:pPr>
              <w:jc w:val="center"/>
              <w:rPr>
                <w:sz w:val="22"/>
                <w:szCs w:val="22"/>
              </w:rPr>
            </w:pPr>
            <w:r w:rsidRPr="00F276E7">
              <w:rPr>
                <w:sz w:val="22"/>
                <w:szCs w:val="22"/>
              </w:rPr>
              <w:t>0.0853</w:t>
            </w:r>
          </w:p>
        </w:tc>
        <w:tc>
          <w:tcPr>
            <w:tcW w:w="2336" w:type="dxa"/>
          </w:tcPr>
          <w:p w14:paraId="3ECFCBAB" w14:textId="77777777" w:rsidR="00427E8C" w:rsidRPr="00F276E7" w:rsidRDefault="00427E8C" w:rsidP="00EB0EAE">
            <w:pPr>
              <w:jc w:val="center"/>
              <w:rPr>
                <w:sz w:val="22"/>
                <w:szCs w:val="22"/>
              </w:rPr>
            </w:pPr>
            <w:r w:rsidRPr="00F276E7">
              <w:rPr>
                <w:sz w:val="22"/>
                <w:szCs w:val="22"/>
              </w:rPr>
              <w:t>-0.1907</w:t>
            </w:r>
          </w:p>
        </w:tc>
      </w:tr>
      <w:tr w:rsidR="00427E8C" w:rsidRPr="00DF5913" w14:paraId="235B0FEA" w14:textId="77777777" w:rsidTr="00427E8C">
        <w:trPr>
          <w:jc w:val="center"/>
        </w:trPr>
        <w:tc>
          <w:tcPr>
            <w:tcW w:w="2348" w:type="dxa"/>
            <w:shd w:val="clear" w:color="auto" w:fill="auto"/>
          </w:tcPr>
          <w:p w14:paraId="5D9CE1BC" w14:textId="77777777" w:rsidR="00427E8C" w:rsidRPr="00F276E7" w:rsidRDefault="00427E8C" w:rsidP="00EB0EAE">
            <w:pPr>
              <w:jc w:val="center"/>
              <w:rPr>
                <w:sz w:val="22"/>
                <w:szCs w:val="22"/>
              </w:rPr>
            </w:pPr>
            <w:r w:rsidRPr="00F276E7">
              <w:rPr>
                <w:sz w:val="22"/>
                <w:szCs w:val="22"/>
              </w:rPr>
              <w:t>BMW</w:t>
            </w:r>
          </w:p>
        </w:tc>
        <w:tc>
          <w:tcPr>
            <w:tcW w:w="2336" w:type="dxa"/>
          </w:tcPr>
          <w:p w14:paraId="448260B8" w14:textId="1A7A2C91" w:rsidR="00427E8C" w:rsidRPr="00F276E7" w:rsidRDefault="00427E8C" w:rsidP="00EB0EAE">
            <w:pPr>
              <w:jc w:val="center"/>
              <w:rPr>
                <w:sz w:val="22"/>
                <w:szCs w:val="22"/>
              </w:rPr>
            </w:pPr>
            <w:r w:rsidRPr="00F276E7">
              <w:rPr>
                <w:sz w:val="22"/>
                <w:szCs w:val="22"/>
              </w:rPr>
              <w:t>0.3876</w:t>
            </w:r>
          </w:p>
        </w:tc>
        <w:tc>
          <w:tcPr>
            <w:tcW w:w="2336" w:type="dxa"/>
          </w:tcPr>
          <w:p w14:paraId="58C547A9" w14:textId="77777777" w:rsidR="00427E8C" w:rsidRPr="00F276E7" w:rsidRDefault="00427E8C" w:rsidP="00EB0EAE">
            <w:pPr>
              <w:jc w:val="center"/>
              <w:rPr>
                <w:sz w:val="22"/>
                <w:szCs w:val="22"/>
              </w:rPr>
            </w:pPr>
            <w:r w:rsidRPr="00F276E7">
              <w:rPr>
                <w:sz w:val="22"/>
                <w:szCs w:val="22"/>
              </w:rPr>
              <w:t>-0.6112</w:t>
            </w:r>
          </w:p>
        </w:tc>
      </w:tr>
      <w:tr w:rsidR="00427E8C" w:rsidRPr="00DF5913" w14:paraId="27EBC955" w14:textId="77777777" w:rsidTr="00427E8C">
        <w:trPr>
          <w:jc w:val="center"/>
        </w:trPr>
        <w:tc>
          <w:tcPr>
            <w:tcW w:w="2348" w:type="dxa"/>
            <w:shd w:val="clear" w:color="auto" w:fill="auto"/>
          </w:tcPr>
          <w:p w14:paraId="653F67C9" w14:textId="21499E18" w:rsidR="00427E8C" w:rsidRPr="00F276E7" w:rsidRDefault="00427E8C" w:rsidP="00EB0EAE">
            <w:pPr>
              <w:jc w:val="center"/>
              <w:rPr>
                <w:sz w:val="22"/>
                <w:szCs w:val="22"/>
              </w:rPr>
            </w:pPr>
            <w:r w:rsidRPr="00F276E7">
              <w:rPr>
                <w:sz w:val="22"/>
                <w:szCs w:val="22"/>
              </w:rPr>
              <w:t>Cadillac</w:t>
            </w:r>
          </w:p>
        </w:tc>
        <w:tc>
          <w:tcPr>
            <w:tcW w:w="2336" w:type="dxa"/>
            <w:shd w:val="clear" w:color="auto" w:fill="BFBFBF" w:themeFill="background1" w:themeFillShade="BF"/>
          </w:tcPr>
          <w:p w14:paraId="066EC6EB" w14:textId="77777777" w:rsidR="00427E8C" w:rsidRPr="00F276E7" w:rsidRDefault="00427E8C" w:rsidP="00EB0EAE">
            <w:pPr>
              <w:jc w:val="center"/>
              <w:rPr>
                <w:sz w:val="22"/>
                <w:szCs w:val="22"/>
              </w:rPr>
            </w:pPr>
          </w:p>
        </w:tc>
        <w:tc>
          <w:tcPr>
            <w:tcW w:w="2336" w:type="dxa"/>
          </w:tcPr>
          <w:p w14:paraId="62D1DBD8" w14:textId="7EC72C1E" w:rsidR="00427E8C" w:rsidRPr="00F276E7" w:rsidRDefault="00427E8C" w:rsidP="00EB0EAE">
            <w:pPr>
              <w:jc w:val="center"/>
              <w:rPr>
                <w:sz w:val="22"/>
                <w:szCs w:val="22"/>
              </w:rPr>
            </w:pPr>
            <w:r w:rsidRPr="00F276E7">
              <w:rPr>
                <w:sz w:val="22"/>
                <w:szCs w:val="22"/>
              </w:rPr>
              <w:t>-0.8161</w:t>
            </w:r>
          </w:p>
        </w:tc>
      </w:tr>
      <w:tr w:rsidR="00427E8C" w:rsidRPr="00DF5913" w14:paraId="2CA59A50" w14:textId="77777777" w:rsidTr="00427E8C">
        <w:trPr>
          <w:jc w:val="center"/>
        </w:trPr>
        <w:tc>
          <w:tcPr>
            <w:tcW w:w="2348" w:type="dxa"/>
            <w:shd w:val="clear" w:color="auto" w:fill="auto"/>
          </w:tcPr>
          <w:p w14:paraId="417B871E" w14:textId="77777777" w:rsidR="00427E8C" w:rsidRPr="00F276E7" w:rsidRDefault="00427E8C" w:rsidP="00EB0EAE">
            <w:pPr>
              <w:jc w:val="center"/>
              <w:rPr>
                <w:sz w:val="22"/>
                <w:szCs w:val="22"/>
              </w:rPr>
            </w:pPr>
            <w:r w:rsidRPr="00F276E7">
              <w:rPr>
                <w:sz w:val="22"/>
                <w:szCs w:val="22"/>
              </w:rPr>
              <w:t>Chrysler</w:t>
            </w:r>
          </w:p>
        </w:tc>
        <w:tc>
          <w:tcPr>
            <w:tcW w:w="2336" w:type="dxa"/>
          </w:tcPr>
          <w:p w14:paraId="57A16D2E" w14:textId="77777777" w:rsidR="00427E8C" w:rsidRPr="00F276E7" w:rsidRDefault="00427E8C" w:rsidP="00EB0EAE">
            <w:pPr>
              <w:jc w:val="center"/>
              <w:rPr>
                <w:sz w:val="22"/>
                <w:szCs w:val="22"/>
              </w:rPr>
            </w:pPr>
            <w:r w:rsidRPr="00F276E7">
              <w:rPr>
                <w:sz w:val="22"/>
                <w:szCs w:val="22"/>
              </w:rPr>
              <w:t>0.4927</w:t>
            </w:r>
          </w:p>
        </w:tc>
        <w:tc>
          <w:tcPr>
            <w:tcW w:w="2336" w:type="dxa"/>
          </w:tcPr>
          <w:p w14:paraId="66E6505B" w14:textId="77777777" w:rsidR="00427E8C" w:rsidRPr="00F276E7" w:rsidRDefault="00427E8C" w:rsidP="00EB0EAE">
            <w:pPr>
              <w:jc w:val="center"/>
              <w:rPr>
                <w:sz w:val="22"/>
                <w:szCs w:val="22"/>
              </w:rPr>
            </w:pPr>
            <w:r w:rsidRPr="00F276E7">
              <w:rPr>
                <w:sz w:val="22"/>
                <w:szCs w:val="22"/>
              </w:rPr>
              <w:t>0.913236</w:t>
            </w:r>
          </w:p>
        </w:tc>
      </w:tr>
      <w:tr w:rsidR="00427E8C" w:rsidRPr="00DF5913" w14:paraId="0FED1631" w14:textId="77777777" w:rsidTr="00427E8C">
        <w:trPr>
          <w:jc w:val="center"/>
        </w:trPr>
        <w:tc>
          <w:tcPr>
            <w:tcW w:w="2348" w:type="dxa"/>
            <w:shd w:val="clear" w:color="auto" w:fill="auto"/>
          </w:tcPr>
          <w:p w14:paraId="681DAE13" w14:textId="57FC2771" w:rsidR="00427E8C" w:rsidRPr="00F276E7" w:rsidRDefault="00427E8C" w:rsidP="00EB0EAE">
            <w:pPr>
              <w:jc w:val="center"/>
              <w:rPr>
                <w:sz w:val="22"/>
                <w:szCs w:val="22"/>
              </w:rPr>
            </w:pPr>
            <w:r w:rsidRPr="00F276E7">
              <w:rPr>
                <w:sz w:val="22"/>
                <w:szCs w:val="22"/>
              </w:rPr>
              <w:t>Daewoo</w:t>
            </w:r>
            <w:r w:rsidR="00523FBA" w:rsidRPr="00F276E7">
              <w:rPr>
                <w:sz w:val="22"/>
                <w:szCs w:val="22"/>
              </w:rPr>
              <w:t>¹</w:t>
            </w:r>
          </w:p>
        </w:tc>
        <w:tc>
          <w:tcPr>
            <w:tcW w:w="2336" w:type="dxa"/>
          </w:tcPr>
          <w:p w14:paraId="436AC063" w14:textId="77777777" w:rsidR="00427E8C" w:rsidRPr="00F276E7" w:rsidRDefault="00427E8C" w:rsidP="00EB0EAE">
            <w:pPr>
              <w:jc w:val="center"/>
              <w:rPr>
                <w:sz w:val="22"/>
                <w:szCs w:val="22"/>
              </w:rPr>
            </w:pPr>
            <w:r w:rsidRPr="00F276E7">
              <w:rPr>
                <w:sz w:val="22"/>
                <w:szCs w:val="22"/>
              </w:rPr>
              <w:t>0.7095</w:t>
            </w:r>
          </w:p>
        </w:tc>
        <w:tc>
          <w:tcPr>
            <w:tcW w:w="2336" w:type="dxa"/>
            <w:shd w:val="clear" w:color="auto" w:fill="D9D9D9" w:themeFill="background1" w:themeFillShade="D9"/>
          </w:tcPr>
          <w:p w14:paraId="71637785" w14:textId="77777777" w:rsidR="00427E8C" w:rsidRPr="00F276E7" w:rsidRDefault="00427E8C" w:rsidP="00EB0EAE">
            <w:pPr>
              <w:jc w:val="center"/>
              <w:rPr>
                <w:sz w:val="22"/>
                <w:szCs w:val="22"/>
              </w:rPr>
            </w:pPr>
          </w:p>
        </w:tc>
      </w:tr>
      <w:tr w:rsidR="00427E8C" w:rsidRPr="00DF5913" w14:paraId="53607ACA" w14:textId="77777777" w:rsidTr="00427E8C">
        <w:trPr>
          <w:jc w:val="center"/>
        </w:trPr>
        <w:tc>
          <w:tcPr>
            <w:tcW w:w="2348" w:type="dxa"/>
            <w:shd w:val="clear" w:color="auto" w:fill="auto"/>
          </w:tcPr>
          <w:p w14:paraId="1579066F" w14:textId="77777777" w:rsidR="00427E8C" w:rsidRPr="00F276E7" w:rsidRDefault="00427E8C" w:rsidP="00EB0EAE">
            <w:pPr>
              <w:jc w:val="center"/>
              <w:rPr>
                <w:sz w:val="22"/>
                <w:szCs w:val="22"/>
              </w:rPr>
            </w:pPr>
            <w:r w:rsidRPr="00F276E7">
              <w:rPr>
                <w:sz w:val="22"/>
                <w:szCs w:val="22"/>
              </w:rPr>
              <w:t>Dodge</w:t>
            </w:r>
          </w:p>
        </w:tc>
        <w:tc>
          <w:tcPr>
            <w:tcW w:w="2336" w:type="dxa"/>
          </w:tcPr>
          <w:p w14:paraId="7E3B88C5" w14:textId="77777777" w:rsidR="00427E8C" w:rsidRPr="00F276E7" w:rsidRDefault="00427E8C" w:rsidP="00EB0EAE">
            <w:pPr>
              <w:jc w:val="center"/>
              <w:rPr>
                <w:sz w:val="22"/>
                <w:szCs w:val="22"/>
              </w:rPr>
            </w:pPr>
            <w:r w:rsidRPr="00F276E7">
              <w:rPr>
                <w:sz w:val="22"/>
                <w:szCs w:val="22"/>
              </w:rPr>
              <w:t>-0.7492</w:t>
            </w:r>
          </w:p>
        </w:tc>
        <w:tc>
          <w:tcPr>
            <w:tcW w:w="2336" w:type="dxa"/>
          </w:tcPr>
          <w:p w14:paraId="4CFAFA48" w14:textId="77777777" w:rsidR="00427E8C" w:rsidRPr="00F276E7" w:rsidRDefault="00427E8C" w:rsidP="00EB0EAE">
            <w:pPr>
              <w:jc w:val="center"/>
              <w:rPr>
                <w:sz w:val="22"/>
                <w:szCs w:val="22"/>
              </w:rPr>
            </w:pPr>
            <w:r w:rsidRPr="00F276E7">
              <w:rPr>
                <w:sz w:val="22"/>
                <w:szCs w:val="22"/>
              </w:rPr>
              <w:t>-0.4732</w:t>
            </w:r>
          </w:p>
        </w:tc>
      </w:tr>
      <w:tr w:rsidR="00427E8C" w:rsidRPr="00DF5913" w14:paraId="6221D2EC" w14:textId="77777777" w:rsidTr="00427E8C">
        <w:trPr>
          <w:jc w:val="center"/>
        </w:trPr>
        <w:tc>
          <w:tcPr>
            <w:tcW w:w="2348" w:type="dxa"/>
            <w:shd w:val="clear" w:color="auto" w:fill="auto"/>
          </w:tcPr>
          <w:p w14:paraId="4F14FD7F" w14:textId="5A85A5C4" w:rsidR="00427E8C" w:rsidRPr="00F276E7" w:rsidRDefault="00427E8C" w:rsidP="00EB0EAE">
            <w:pPr>
              <w:jc w:val="center"/>
              <w:rPr>
                <w:sz w:val="22"/>
                <w:szCs w:val="22"/>
              </w:rPr>
            </w:pPr>
            <w:r w:rsidRPr="00F276E7">
              <w:rPr>
                <w:sz w:val="22"/>
                <w:szCs w:val="22"/>
              </w:rPr>
              <w:t>Fiat</w:t>
            </w:r>
          </w:p>
        </w:tc>
        <w:tc>
          <w:tcPr>
            <w:tcW w:w="2336" w:type="dxa"/>
          </w:tcPr>
          <w:p w14:paraId="08B31E8B" w14:textId="1AE0E6A8" w:rsidR="00427E8C" w:rsidRPr="00F276E7" w:rsidRDefault="00523FBA" w:rsidP="00EB0EAE">
            <w:pPr>
              <w:jc w:val="center"/>
              <w:rPr>
                <w:sz w:val="22"/>
                <w:szCs w:val="22"/>
              </w:rPr>
            </w:pPr>
            <w:r w:rsidRPr="00F276E7">
              <w:rPr>
                <w:sz w:val="22"/>
                <w:szCs w:val="22"/>
              </w:rPr>
              <w:t>-0.6501</w:t>
            </w:r>
          </w:p>
        </w:tc>
        <w:tc>
          <w:tcPr>
            <w:tcW w:w="2336" w:type="dxa"/>
          </w:tcPr>
          <w:p w14:paraId="5AA7602F" w14:textId="693239D1" w:rsidR="00427E8C" w:rsidRPr="00F276E7" w:rsidRDefault="00523FBA" w:rsidP="00EB0EAE">
            <w:pPr>
              <w:jc w:val="center"/>
              <w:rPr>
                <w:sz w:val="22"/>
                <w:szCs w:val="22"/>
              </w:rPr>
            </w:pPr>
            <w:r w:rsidRPr="00F276E7">
              <w:rPr>
                <w:sz w:val="22"/>
                <w:szCs w:val="22"/>
              </w:rPr>
              <w:t>-0.8249</w:t>
            </w:r>
          </w:p>
        </w:tc>
      </w:tr>
      <w:tr w:rsidR="00427E8C" w:rsidRPr="00DF5913" w14:paraId="70333017" w14:textId="77777777" w:rsidTr="00427E8C">
        <w:trPr>
          <w:jc w:val="center"/>
        </w:trPr>
        <w:tc>
          <w:tcPr>
            <w:tcW w:w="2348" w:type="dxa"/>
            <w:shd w:val="clear" w:color="auto" w:fill="auto"/>
          </w:tcPr>
          <w:p w14:paraId="37538108" w14:textId="77777777" w:rsidR="00427E8C" w:rsidRPr="00F276E7" w:rsidRDefault="00427E8C" w:rsidP="00EB0EAE">
            <w:pPr>
              <w:jc w:val="center"/>
              <w:rPr>
                <w:sz w:val="22"/>
                <w:szCs w:val="22"/>
              </w:rPr>
            </w:pPr>
            <w:r w:rsidRPr="00F276E7">
              <w:rPr>
                <w:sz w:val="22"/>
                <w:szCs w:val="22"/>
              </w:rPr>
              <w:t>Ford</w:t>
            </w:r>
          </w:p>
        </w:tc>
        <w:tc>
          <w:tcPr>
            <w:tcW w:w="2336" w:type="dxa"/>
          </w:tcPr>
          <w:p w14:paraId="5B7FCE8E" w14:textId="77777777" w:rsidR="00427E8C" w:rsidRPr="00F276E7" w:rsidRDefault="00427E8C" w:rsidP="00EB0EAE">
            <w:pPr>
              <w:jc w:val="center"/>
              <w:rPr>
                <w:sz w:val="22"/>
                <w:szCs w:val="22"/>
              </w:rPr>
            </w:pPr>
            <w:r w:rsidRPr="00F276E7">
              <w:rPr>
                <w:sz w:val="22"/>
                <w:szCs w:val="22"/>
              </w:rPr>
              <w:t>1.7412</w:t>
            </w:r>
          </w:p>
        </w:tc>
        <w:tc>
          <w:tcPr>
            <w:tcW w:w="2336" w:type="dxa"/>
          </w:tcPr>
          <w:p w14:paraId="5124147F" w14:textId="77777777" w:rsidR="00427E8C" w:rsidRPr="00F276E7" w:rsidRDefault="00427E8C" w:rsidP="00EB0EAE">
            <w:pPr>
              <w:jc w:val="center"/>
              <w:rPr>
                <w:sz w:val="22"/>
                <w:szCs w:val="22"/>
              </w:rPr>
            </w:pPr>
            <w:r w:rsidRPr="00F276E7">
              <w:rPr>
                <w:sz w:val="22"/>
                <w:szCs w:val="22"/>
              </w:rPr>
              <w:t>2.3062</w:t>
            </w:r>
          </w:p>
        </w:tc>
      </w:tr>
      <w:tr w:rsidR="00427E8C" w:rsidRPr="00DF5913" w14:paraId="3605B7EA" w14:textId="77777777" w:rsidTr="00427E8C">
        <w:trPr>
          <w:jc w:val="center"/>
        </w:trPr>
        <w:tc>
          <w:tcPr>
            <w:tcW w:w="2348" w:type="dxa"/>
            <w:shd w:val="clear" w:color="auto" w:fill="auto"/>
          </w:tcPr>
          <w:p w14:paraId="76C8C808" w14:textId="77777777" w:rsidR="00427E8C" w:rsidRPr="00F276E7" w:rsidRDefault="00427E8C" w:rsidP="00EB0EAE">
            <w:pPr>
              <w:jc w:val="center"/>
              <w:rPr>
                <w:sz w:val="22"/>
                <w:szCs w:val="22"/>
              </w:rPr>
            </w:pPr>
            <w:r w:rsidRPr="00F276E7">
              <w:rPr>
                <w:sz w:val="22"/>
                <w:szCs w:val="22"/>
              </w:rPr>
              <w:t>Honda</w:t>
            </w:r>
          </w:p>
        </w:tc>
        <w:tc>
          <w:tcPr>
            <w:tcW w:w="2336" w:type="dxa"/>
          </w:tcPr>
          <w:p w14:paraId="3F2774CD" w14:textId="5C0C7623" w:rsidR="00427E8C" w:rsidRPr="00F276E7" w:rsidRDefault="00427E8C" w:rsidP="00EB0EAE">
            <w:pPr>
              <w:jc w:val="center"/>
              <w:rPr>
                <w:sz w:val="22"/>
                <w:szCs w:val="22"/>
              </w:rPr>
            </w:pPr>
            <w:r w:rsidRPr="00F276E7">
              <w:rPr>
                <w:sz w:val="22"/>
                <w:szCs w:val="22"/>
              </w:rPr>
              <w:t>2.3391</w:t>
            </w:r>
          </w:p>
        </w:tc>
        <w:tc>
          <w:tcPr>
            <w:tcW w:w="2336" w:type="dxa"/>
          </w:tcPr>
          <w:p w14:paraId="67B8C25F" w14:textId="77777777" w:rsidR="00427E8C" w:rsidRPr="00F276E7" w:rsidRDefault="00427E8C" w:rsidP="00EB0EAE">
            <w:pPr>
              <w:jc w:val="center"/>
              <w:rPr>
                <w:sz w:val="22"/>
                <w:szCs w:val="22"/>
              </w:rPr>
            </w:pPr>
            <w:r w:rsidRPr="00F276E7">
              <w:rPr>
                <w:sz w:val="22"/>
                <w:szCs w:val="22"/>
              </w:rPr>
              <w:t>1.9579</w:t>
            </w:r>
          </w:p>
        </w:tc>
      </w:tr>
      <w:tr w:rsidR="00427E8C" w:rsidRPr="00DF5913" w14:paraId="32488125" w14:textId="77777777" w:rsidTr="00427E8C">
        <w:trPr>
          <w:jc w:val="center"/>
        </w:trPr>
        <w:tc>
          <w:tcPr>
            <w:tcW w:w="2348" w:type="dxa"/>
            <w:shd w:val="clear" w:color="auto" w:fill="auto"/>
          </w:tcPr>
          <w:p w14:paraId="09359297" w14:textId="77777777" w:rsidR="00427E8C" w:rsidRPr="00F276E7" w:rsidRDefault="00427E8C" w:rsidP="00EB0EAE">
            <w:pPr>
              <w:jc w:val="center"/>
              <w:rPr>
                <w:sz w:val="22"/>
                <w:szCs w:val="22"/>
              </w:rPr>
            </w:pPr>
            <w:r w:rsidRPr="00F276E7">
              <w:rPr>
                <w:sz w:val="22"/>
                <w:szCs w:val="22"/>
              </w:rPr>
              <w:t>Hyundai</w:t>
            </w:r>
          </w:p>
        </w:tc>
        <w:tc>
          <w:tcPr>
            <w:tcW w:w="2336" w:type="dxa"/>
          </w:tcPr>
          <w:p w14:paraId="6E3A7247" w14:textId="77777777" w:rsidR="00427E8C" w:rsidRPr="00F276E7" w:rsidRDefault="00427E8C" w:rsidP="00EB0EAE">
            <w:pPr>
              <w:jc w:val="center"/>
              <w:rPr>
                <w:sz w:val="22"/>
                <w:szCs w:val="22"/>
              </w:rPr>
            </w:pPr>
            <w:r w:rsidRPr="00F276E7">
              <w:rPr>
                <w:sz w:val="22"/>
                <w:szCs w:val="22"/>
              </w:rPr>
              <w:t>1.1234</w:t>
            </w:r>
          </w:p>
        </w:tc>
        <w:tc>
          <w:tcPr>
            <w:tcW w:w="2336" w:type="dxa"/>
          </w:tcPr>
          <w:p w14:paraId="533EFBA3" w14:textId="77777777" w:rsidR="00427E8C" w:rsidRPr="00F276E7" w:rsidRDefault="00427E8C" w:rsidP="00EB0EAE">
            <w:pPr>
              <w:jc w:val="center"/>
              <w:rPr>
                <w:sz w:val="22"/>
                <w:szCs w:val="22"/>
              </w:rPr>
            </w:pPr>
            <w:r w:rsidRPr="00F276E7">
              <w:rPr>
                <w:sz w:val="22"/>
                <w:szCs w:val="22"/>
              </w:rPr>
              <w:t>0.7752</w:t>
            </w:r>
          </w:p>
        </w:tc>
      </w:tr>
      <w:tr w:rsidR="00427E8C" w:rsidRPr="00DF5913" w14:paraId="47C6361E" w14:textId="77777777" w:rsidTr="00427E8C">
        <w:trPr>
          <w:jc w:val="center"/>
        </w:trPr>
        <w:tc>
          <w:tcPr>
            <w:tcW w:w="2348" w:type="dxa"/>
            <w:shd w:val="clear" w:color="auto" w:fill="auto"/>
          </w:tcPr>
          <w:p w14:paraId="228F359F" w14:textId="77777777" w:rsidR="00427E8C" w:rsidRPr="00F276E7" w:rsidRDefault="00427E8C" w:rsidP="00EB0EAE">
            <w:pPr>
              <w:jc w:val="center"/>
              <w:rPr>
                <w:sz w:val="22"/>
                <w:szCs w:val="22"/>
              </w:rPr>
            </w:pPr>
            <w:r w:rsidRPr="00F276E7">
              <w:rPr>
                <w:sz w:val="22"/>
                <w:szCs w:val="22"/>
              </w:rPr>
              <w:t>Kia</w:t>
            </w:r>
          </w:p>
        </w:tc>
        <w:tc>
          <w:tcPr>
            <w:tcW w:w="2336" w:type="dxa"/>
          </w:tcPr>
          <w:p w14:paraId="4B7AD7E2" w14:textId="77777777" w:rsidR="00427E8C" w:rsidRPr="00F276E7" w:rsidRDefault="00427E8C" w:rsidP="00EB0EAE">
            <w:pPr>
              <w:jc w:val="center"/>
              <w:rPr>
                <w:sz w:val="22"/>
                <w:szCs w:val="22"/>
              </w:rPr>
            </w:pPr>
            <w:r w:rsidRPr="00F276E7">
              <w:rPr>
                <w:sz w:val="22"/>
                <w:szCs w:val="22"/>
              </w:rPr>
              <w:t>1.13</w:t>
            </w:r>
          </w:p>
        </w:tc>
        <w:tc>
          <w:tcPr>
            <w:tcW w:w="2336" w:type="dxa"/>
          </w:tcPr>
          <w:p w14:paraId="42B8D4BD" w14:textId="77777777" w:rsidR="00427E8C" w:rsidRPr="00F276E7" w:rsidRDefault="00427E8C" w:rsidP="00EB0EAE">
            <w:pPr>
              <w:jc w:val="center"/>
              <w:rPr>
                <w:sz w:val="22"/>
                <w:szCs w:val="22"/>
              </w:rPr>
            </w:pPr>
            <w:r w:rsidRPr="00F276E7">
              <w:rPr>
                <w:sz w:val="22"/>
                <w:szCs w:val="22"/>
              </w:rPr>
              <w:t>-0.6112</w:t>
            </w:r>
          </w:p>
        </w:tc>
      </w:tr>
      <w:tr w:rsidR="00427E8C" w:rsidRPr="00DF5913" w14:paraId="086A83DD" w14:textId="77777777" w:rsidTr="00427E8C">
        <w:trPr>
          <w:jc w:val="center"/>
        </w:trPr>
        <w:tc>
          <w:tcPr>
            <w:tcW w:w="2348" w:type="dxa"/>
            <w:shd w:val="clear" w:color="auto" w:fill="auto"/>
          </w:tcPr>
          <w:p w14:paraId="1A17067A" w14:textId="77777777" w:rsidR="00427E8C" w:rsidRPr="00F276E7" w:rsidRDefault="00427E8C" w:rsidP="00EB0EAE">
            <w:pPr>
              <w:jc w:val="center"/>
              <w:rPr>
                <w:sz w:val="22"/>
                <w:szCs w:val="22"/>
              </w:rPr>
            </w:pPr>
            <w:r w:rsidRPr="00F276E7">
              <w:rPr>
                <w:sz w:val="22"/>
                <w:szCs w:val="22"/>
              </w:rPr>
              <w:t>Lexus</w:t>
            </w:r>
          </w:p>
        </w:tc>
        <w:tc>
          <w:tcPr>
            <w:tcW w:w="2336" w:type="dxa"/>
            <w:shd w:val="clear" w:color="auto" w:fill="auto"/>
          </w:tcPr>
          <w:p w14:paraId="03CBAD50" w14:textId="4B77FC9B" w:rsidR="00427E8C" w:rsidRPr="00F276E7" w:rsidRDefault="00427E8C" w:rsidP="00EB0EAE">
            <w:pPr>
              <w:jc w:val="center"/>
              <w:rPr>
                <w:sz w:val="22"/>
                <w:szCs w:val="22"/>
              </w:rPr>
            </w:pPr>
            <w:r w:rsidRPr="00F276E7">
              <w:rPr>
                <w:sz w:val="22"/>
                <w:szCs w:val="22"/>
              </w:rPr>
              <w:t>-1.1081</w:t>
            </w:r>
          </w:p>
        </w:tc>
        <w:tc>
          <w:tcPr>
            <w:tcW w:w="2336" w:type="dxa"/>
          </w:tcPr>
          <w:p w14:paraId="37C47FE0" w14:textId="651D1725" w:rsidR="00427E8C" w:rsidRPr="00F276E7" w:rsidRDefault="00427E8C" w:rsidP="00EB0EAE">
            <w:pPr>
              <w:jc w:val="center"/>
              <w:rPr>
                <w:sz w:val="22"/>
                <w:szCs w:val="22"/>
              </w:rPr>
            </w:pPr>
            <w:r w:rsidRPr="00F276E7">
              <w:rPr>
                <w:sz w:val="22"/>
                <w:szCs w:val="22"/>
              </w:rPr>
              <w:t>-0.9030</w:t>
            </w:r>
          </w:p>
        </w:tc>
      </w:tr>
      <w:tr w:rsidR="00427E8C" w:rsidRPr="00DF5913" w14:paraId="4BC5BC2A" w14:textId="77777777" w:rsidTr="00427E8C">
        <w:trPr>
          <w:jc w:val="center"/>
        </w:trPr>
        <w:tc>
          <w:tcPr>
            <w:tcW w:w="2348" w:type="dxa"/>
            <w:shd w:val="clear" w:color="auto" w:fill="auto"/>
          </w:tcPr>
          <w:p w14:paraId="4E5C7FF3" w14:textId="77777777" w:rsidR="00427E8C" w:rsidRPr="00F276E7" w:rsidRDefault="00427E8C" w:rsidP="00EB0EAE">
            <w:pPr>
              <w:jc w:val="center"/>
              <w:rPr>
                <w:sz w:val="22"/>
                <w:szCs w:val="22"/>
              </w:rPr>
            </w:pPr>
            <w:r w:rsidRPr="00F276E7">
              <w:rPr>
                <w:sz w:val="22"/>
                <w:szCs w:val="22"/>
              </w:rPr>
              <w:t>Mazda</w:t>
            </w:r>
          </w:p>
        </w:tc>
        <w:tc>
          <w:tcPr>
            <w:tcW w:w="2336" w:type="dxa"/>
          </w:tcPr>
          <w:p w14:paraId="5E29B34B" w14:textId="77777777" w:rsidR="00427E8C" w:rsidRPr="00F276E7" w:rsidRDefault="00427E8C" w:rsidP="00EB0EAE">
            <w:pPr>
              <w:jc w:val="center"/>
              <w:rPr>
                <w:sz w:val="22"/>
                <w:szCs w:val="22"/>
              </w:rPr>
            </w:pPr>
            <w:r w:rsidRPr="00F276E7">
              <w:rPr>
                <w:sz w:val="22"/>
                <w:szCs w:val="22"/>
              </w:rPr>
              <w:t>0.2825</w:t>
            </w:r>
          </w:p>
        </w:tc>
        <w:tc>
          <w:tcPr>
            <w:tcW w:w="2336" w:type="dxa"/>
          </w:tcPr>
          <w:p w14:paraId="00D0226F" w14:textId="280DDF01" w:rsidR="00427E8C" w:rsidRPr="00F276E7" w:rsidRDefault="00427E8C" w:rsidP="00EB0EAE">
            <w:pPr>
              <w:jc w:val="center"/>
              <w:rPr>
                <w:sz w:val="22"/>
                <w:szCs w:val="22"/>
              </w:rPr>
            </w:pPr>
            <w:r w:rsidRPr="00F276E7">
              <w:rPr>
                <w:sz w:val="22"/>
                <w:szCs w:val="22"/>
              </w:rPr>
              <w:t>0.4648</w:t>
            </w:r>
          </w:p>
        </w:tc>
      </w:tr>
      <w:tr w:rsidR="00427E8C" w:rsidRPr="00DF5913" w14:paraId="22031EAB" w14:textId="77777777" w:rsidTr="00427E8C">
        <w:trPr>
          <w:jc w:val="center"/>
        </w:trPr>
        <w:tc>
          <w:tcPr>
            <w:tcW w:w="2348" w:type="dxa"/>
            <w:shd w:val="clear" w:color="auto" w:fill="auto"/>
          </w:tcPr>
          <w:p w14:paraId="3045A469" w14:textId="77777777" w:rsidR="00427E8C" w:rsidRPr="00F276E7" w:rsidRDefault="00427E8C" w:rsidP="00EB0EAE">
            <w:pPr>
              <w:jc w:val="center"/>
              <w:rPr>
                <w:sz w:val="22"/>
                <w:szCs w:val="22"/>
              </w:rPr>
            </w:pPr>
            <w:r w:rsidRPr="00F276E7">
              <w:rPr>
                <w:sz w:val="22"/>
                <w:szCs w:val="22"/>
              </w:rPr>
              <w:t>Mercedes</w:t>
            </w:r>
          </w:p>
        </w:tc>
        <w:tc>
          <w:tcPr>
            <w:tcW w:w="2336" w:type="dxa"/>
          </w:tcPr>
          <w:p w14:paraId="5EA58387" w14:textId="77777777" w:rsidR="00427E8C" w:rsidRPr="00F276E7" w:rsidRDefault="00427E8C" w:rsidP="00EB0EAE">
            <w:pPr>
              <w:jc w:val="center"/>
              <w:rPr>
                <w:sz w:val="22"/>
                <w:szCs w:val="22"/>
              </w:rPr>
            </w:pPr>
            <w:r w:rsidRPr="00F276E7">
              <w:rPr>
                <w:sz w:val="22"/>
                <w:szCs w:val="22"/>
              </w:rPr>
              <w:t>-0.184196</w:t>
            </w:r>
          </w:p>
        </w:tc>
        <w:tc>
          <w:tcPr>
            <w:tcW w:w="2336" w:type="dxa"/>
            <w:shd w:val="clear" w:color="auto" w:fill="auto"/>
          </w:tcPr>
          <w:p w14:paraId="0EB3C7C2" w14:textId="3AB27C17" w:rsidR="00427E8C" w:rsidRPr="00F276E7" w:rsidRDefault="00427E8C" w:rsidP="00EB0EAE">
            <w:pPr>
              <w:jc w:val="center"/>
              <w:rPr>
                <w:sz w:val="22"/>
                <w:szCs w:val="22"/>
              </w:rPr>
            </w:pPr>
            <w:r w:rsidRPr="00F276E7">
              <w:rPr>
                <w:sz w:val="22"/>
                <w:szCs w:val="22"/>
              </w:rPr>
              <w:t>-0.2813</w:t>
            </w:r>
          </w:p>
        </w:tc>
      </w:tr>
      <w:tr w:rsidR="00427E8C" w:rsidRPr="00DF5913" w14:paraId="5597AAC6" w14:textId="77777777" w:rsidTr="00427E8C">
        <w:trPr>
          <w:jc w:val="center"/>
        </w:trPr>
        <w:tc>
          <w:tcPr>
            <w:tcW w:w="2348" w:type="dxa"/>
            <w:shd w:val="clear" w:color="auto" w:fill="auto"/>
          </w:tcPr>
          <w:p w14:paraId="6CBC3AA5" w14:textId="77777777" w:rsidR="00427E8C" w:rsidRPr="00F276E7" w:rsidRDefault="00427E8C" w:rsidP="00EB0EAE">
            <w:pPr>
              <w:jc w:val="center"/>
              <w:rPr>
                <w:sz w:val="22"/>
                <w:szCs w:val="22"/>
              </w:rPr>
            </w:pPr>
            <w:r w:rsidRPr="00F276E7">
              <w:rPr>
                <w:sz w:val="22"/>
                <w:szCs w:val="22"/>
              </w:rPr>
              <w:t>Mitsubishi</w:t>
            </w:r>
          </w:p>
        </w:tc>
        <w:tc>
          <w:tcPr>
            <w:tcW w:w="2336" w:type="dxa"/>
          </w:tcPr>
          <w:p w14:paraId="2A248579" w14:textId="77777777" w:rsidR="00427E8C" w:rsidRPr="00F276E7" w:rsidRDefault="00427E8C" w:rsidP="00EB0EAE">
            <w:pPr>
              <w:jc w:val="center"/>
              <w:rPr>
                <w:sz w:val="22"/>
                <w:szCs w:val="22"/>
              </w:rPr>
            </w:pPr>
            <w:r w:rsidRPr="00F276E7">
              <w:rPr>
                <w:sz w:val="22"/>
                <w:szCs w:val="22"/>
              </w:rPr>
              <w:t>0.5715</w:t>
            </w:r>
          </w:p>
        </w:tc>
        <w:tc>
          <w:tcPr>
            <w:tcW w:w="2336" w:type="dxa"/>
          </w:tcPr>
          <w:p w14:paraId="5621466D" w14:textId="77777777" w:rsidR="00427E8C" w:rsidRPr="00F276E7" w:rsidRDefault="00427E8C" w:rsidP="00EB0EAE">
            <w:pPr>
              <w:jc w:val="center"/>
              <w:rPr>
                <w:sz w:val="22"/>
                <w:szCs w:val="22"/>
              </w:rPr>
            </w:pPr>
            <w:r w:rsidRPr="00F276E7">
              <w:rPr>
                <w:sz w:val="22"/>
                <w:szCs w:val="22"/>
              </w:rPr>
              <w:t>-0.8214</w:t>
            </w:r>
          </w:p>
        </w:tc>
      </w:tr>
      <w:tr w:rsidR="00427E8C" w:rsidRPr="00DF5913" w14:paraId="3B917B0A" w14:textId="77777777" w:rsidTr="00427E8C">
        <w:trPr>
          <w:jc w:val="center"/>
        </w:trPr>
        <w:tc>
          <w:tcPr>
            <w:tcW w:w="2348" w:type="dxa"/>
            <w:shd w:val="clear" w:color="auto" w:fill="auto"/>
          </w:tcPr>
          <w:p w14:paraId="367F4C57" w14:textId="77777777" w:rsidR="00427E8C" w:rsidRPr="00F276E7" w:rsidRDefault="00427E8C" w:rsidP="00EB0EAE">
            <w:pPr>
              <w:jc w:val="center"/>
              <w:rPr>
                <w:sz w:val="22"/>
                <w:szCs w:val="22"/>
              </w:rPr>
            </w:pPr>
            <w:r w:rsidRPr="00F276E7">
              <w:rPr>
                <w:sz w:val="22"/>
                <w:szCs w:val="22"/>
              </w:rPr>
              <w:t>Nissan</w:t>
            </w:r>
          </w:p>
        </w:tc>
        <w:tc>
          <w:tcPr>
            <w:tcW w:w="2336" w:type="dxa"/>
          </w:tcPr>
          <w:p w14:paraId="438292E1" w14:textId="77777777" w:rsidR="00427E8C" w:rsidRPr="00F276E7" w:rsidRDefault="00427E8C" w:rsidP="00EB0EAE">
            <w:pPr>
              <w:jc w:val="center"/>
              <w:rPr>
                <w:sz w:val="22"/>
                <w:szCs w:val="22"/>
              </w:rPr>
            </w:pPr>
            <w:r w:rsidRPr="00F276E7">
              <w:rPr>
                <w:sz w:val="22"/>
                <w:szCs w:val="22"/>
              </w:rPr>
              <w:t>0.7817</w:t>
            </w:r>
          </w:p>
        </w:tc>
        <w:tc>
          <w:tcPr>
            <w:tcW w:w="2336" w:type="dxa"/>
          </w:tcPr>
          <w:p w14:paraId="0349A6D2" w14:textId="3730E6CE" w:rsidR="00427E8C" w:rsidRPr="00F276E7" w:rsidRDefault="00427E8C" w:rsidP="00EB0EAE">
            <w:pPr>
              <w:jc w:val="center"/>
              <w:rPr>
                <w:sz w:val="22"/>
                <w:szCs w:val="22"/>
              </w:rPr>
            </w:pPr>
            <w:r w:rsidRPr="00F276E7">
              <w:rPr>
                <w:sz w:val="22"/>
                <w:szCs w:val="22"/>
              </w:rPr>
              <w:t>0.2562</w:t>
            </w:r>
          </w:p>
        </w:tc>
      </w:tr>
      <w:tr w:rsidR="00427E8C" w:rsidRPr="00DF5913" w14:paraId="7559B8C7" w14:textId="77777777" w:rsidTr="00427E8C">
        <w:trPr>
          <w:jc w:val="center"/>
        </w:trPr>
        <w:tc>
          <w:tcPr>
            <w:tcW w:w="2348" w:type="dxa"/>
            <w:shd w:val="clear" w:color="auto" w:fill="auto"/>
          </w:tcPr>
          <w:p w14:paraId="4580ADAA" w14:textId="77777777" w:rsidR="00427E8C" w:rsidRPr="00F276E7" w:rsidRDefault="00427E8C" w:rsidP="00EB0EAE">
            <w:pPr>
              <w:jc w:val="center"/>
              <w:rPr>
                <w:sz w:val="22"/>
                <w:szCs w:val="22"/>
              </w:rPr>
            </w:pPr>
            <w:r w:rsidRPr="00F276E7">
              <w:rPr>
                <w:sz w:val="22"/>
                <w:szCs w:val="22"/>
              </w:rPr>
              <w:t>Porsche</w:t>
            </w:r>
          </w:p>
        </w:tc>
        <w:tc>
          <w:tcPr>
            <w:tcW w:w="2336" w:type="dxa"/>
          </w:tcPr>
          <w:p w14:paraId="4F4202D0" w14:textId="77777777" w:rsidR="00427E8C" w:rsidRPr="00F276E7" w:rsidRDefault="00427E8C" w:rsidP="00EB0EAE">
            <w:pPr>
              <w:jc w:val="center"/>
              <w:rPr>
                <w:sz w:val="22"/>
                <w:szCs w:val="22"/>
              </w:rPr>
            </w:pPr>
            <w:r w:rsidRPr="00F276E7">
              <w:rPr>
                <w:sz w:val="22"/>
                <w:szCs w:val="22"/>
              </w:rPr>
              <w:t>0.7030</w:t>
            </w:r>
          </w:p>
        </w:tc>
        <w:tc>
          <w:tcPr>
            <w:tcW w:w="2336" w:type="dxa"/>
          </w:tcPr>
          <w:p w14:paraId="3272B36A" w14:textId="77777777" w:rsidR="00427E8C" w:rsidRPr="00F276E7" w:rsidRDefault="00427E8C" w:rsidP="00EB0EAE">
            <w:pPr>
              <w:jc w:val="center"/>
              <w:rPr>
                <w:sz w:val="22"/>
                <w:szCs w:val="22"/>
              </w:rPr>
            </w:pPr>
            <w:r w:rsidRPr="00F276E7">
              <w:rPr>
                <w:sz w:val="22"/>
                <w:szCs w:val="22"/>
              </w:rPr>
              <w:t>-1.7874</w:t>
            </w:r>
          </w:p>
        </w:tc>
      </w:tr>
      <w:tr w:rsidR="00427E8C" w:rsidRPr="00DF5913" w14:paraId="6F62A0CB" w14:textId="77777777" w:rsidTr="00427E8C">
        <w:trPr>
          <w:jc w:val="center"/>
        </w:trPr>
        <w:tc>
          <w:tcPr>
            <w:tcW w:w="2348" w:type="dxa"/>
            <w:shd w:val="clear" w:color="auto" w:fill="auto"/>
          </w:tcPr>
          <w:p w14:paraId="0E12B13E" w14:textId="6805FF26" w:rsidR="00427E8C" w:rsidRPr="00F276E7" w:rsidRDefault="00427E8C" w:rsidP="00EB0EAE">
            <w:pPr>
              <w:jc w:val="center"/>
              <w:rPr>
                <w:sz w:val="22"/>
                <w:szCs w:val="22"/>
              </w:rPr>
            </w:pPr>
            <w:r w:rsidRPr="00F276E7">
              <w:rPr>
                <w:sz w:val="22"/>
                <w:szCs w:val="22"/>
              </w:rPr>
              <w:t>Skoda</w:t>
            </w:r>
            <w:r w:rsidR="001600F3" w:rsidRPr="00F276E7">
              <w:rPr>
                <w:sz w:val="22"/>
                <w:szCs w:val="22"/>
              </w:rPr>
              <w:t>²</w:t>
            </w:r>
          </w:p>
        </w:tc>
        <w:tc>
          <w:tcPr>
            <w:tcW w:w="2336" w:type="dxa"/>
          </w:tcPr>
          <w:p w14:paraId="1EE1479F" w14:textId="77777777" w:rsidR="00427E8C" w:rsidRPr="00F276E7" w:rsidRDefault="00427E8C" w:rsidP="00EB0EAE">
            <w:pPr>
              <w:jc w:val="center"/>
              <w:rPr>
                <w:sz w:val="22"/>
                <w:szCs w:val="22"/>
              </w:rPr>
            </w:pPr>
            <w:r w:rsidRPr="00F276E7">
              <w:rPr>
                <w:sz w:val="22"/>
                <w:szCs w:val="22"/>
              </w:rPr>
              <w:t>0.0722</w:t>
            </w:r>
          </w:p>
        </w:tc>
        <w:tc>
          <w:tcPr>
            <w:tcW w:w="2336" w:type="dxa"/>
            <w:shd w:val="clear" w:color="auto" w:fill="D9D9D9" w:themeFill="background1" w:themeFillShade="D9"/>
          </w:tcPr>
          <w:p w14:paraId="43856438" w14:textId="77777777" w:rsidR="00427E8C" w:rsidRPr="00F276E7" w:rsidRDefault="00427E8C" w:rsidP="00EB0EAE">
            <w:pPr>
              <w:jc w:val="center"/>
              <w:rPr>
                <w:sz w:val="22"/>
                <w:szCs w:val="22"/>
              </w:rPr>
            </w:pPr>
          </w:p>
        </w:tc>
      </w:tr>
      <w:tr w:rsidR="00427E8C" w:rsidRPr="00DF5913" w14:paraId="531B1579" w14:textId="77777777" w:rsidTr="00427E8C">
        <w:trPr>
          <w:jc w:val="center"/>
        </w:trPr>
        <w:tc>
          <w:tcPr>
            <w:tcW w:w="2348" w:type="dxa"/>
            <w:shd w:val="clear" w:color="auto" w:fill="auto"/>
          </w:tcPr>
          <w:p w14:paraId="35BF6D87" w14:textId="77777777" w:rsidR="00427E8C" w:rsidRPr="00F276E7" w:rsidRDefault="00427E8C" w:rsidP="00EB0EAE">
            <w:pPr>
              <w:jc w:val="center"/>
              <w:rPr>
                <w:sz w:val="22"/>
                <w:szCs w:val="22"/>
              </w:rPr>
            </w:pPr>
            <w:r w:rsidRPr="00F276E7">
              <w:rPr>
                <w:sz w:val="22"/>
                <w:szCs w:val="22"/>
              </w:rPr>
              <w:t>Subaru</w:t>
            </w:r>
          </w:p>
        </w:tc>
        <w:tc>
          <w:tcPr>
            <w:tcW w:w="2336" w:type="dxa"/>
            <w:shd w:val="clear" w:color="auto" w:fill="auto"/>
          </w:tcPr>
          <w:p w14:paraId="392FC5EE" w14:textId="01FA2A3C" w:rsidR="00427E8C" w:rsidRPr="00F276E7" w:rsidRDefault="00427E8C" w:rsidP="00EB0EAE">
            <w:pPr>
              <w:jc w:val="center"/>
              <w:rPr>
                <w:sz w:val="22"/>
                <w:szCs w:val="22"/>
              </w:rPr>
            </w:pPr>
            <w:r w:rsidRPr="00F276E7">
              <w:rPr>
                <w:sz w:val="22"/>
                <w:szCs w:val="22"/>
              </w:rPr>
              <w:t>-0.2948</w:t>
            </w:r>
          </w:p>
        </w:tc>
        <w:tc>
          <w:tcPr>
            <w:tcW w:w="2336" w:type="dxa"/>
          </w:tcPr>
          <w:p w14:paraId="78C906E9" w14:textId="77777777" w:rsidR="00427E8C" w:rsidRPr="00F276E7" w:rsidRDefault="00427E8C" w:rsidP="00EB0EAE">
            <w:pPr>
              <w:jc w:val="center"/>
              <w:rPr>
                <w:sz w:val="22"/>
                <w:szCs w:val="22"/>
              </w:rPr>
            </w:pPr>
            <w:r w:rsidRPr="00F276E7">
              <w:rPr>
                <w:sz w:val="22"/>
                <w:szCs w:val="22"/>
              </w:rPr>
              <w:t>-0.1972</w:t>
            </w:r>
          </w:p>
        </w:tc>
      </w:tr>
      <w:tr w:rsidR="00427E8C" w:rsidRPr="00DF5913" w14:paraId="037A1DB9" w14:textId="77777777" w:rsidTr="00427E8C">
        <w:trPr>
          <w:jc w:val="center"/>
        </w:trPr>
        <w:tc>
          <w:tcPr>
            <w:tcW w:w="2348" w:type="dxa"/>
            <w:shd w:val="clear" w:color="auto" w:fill="auto"/>
          </w:tcPr>
          <w:p w14:paraId="5113B479" w14:textId="77777777" w:rsidR="00427E8C" w:rsidRPr="00F276E7" w:rsidRDefault="00427E8C" w:rsidP="00EB0EAE">
            <w:pPr>
              <w:jc w:val="center"/>
              <w:rPr>
                <w:sz w:val="22"/>
                <w:szCs w:val="22"/>
              </w:rPr>
            </w:pPr>
            <w:r w:rsidRPr="00F276E7">
              <w:rPr>
                <w:sz w:val="22"/>
                <w:szCs w:val="22"/>
              </w:rPr>
              <w:t>Suzuki</w:t>
            </w:r>
          </w:p>
        </w:tc>
        <w:tc>
          <w:tcPr>
            <w:tcW w:w="2336" w:type="dxa"/>
          </w:tcPr>
          <w:p w14:paraId="101BFA80" w14:textId="77777777" w:rsidR="00427E8C" w:rsidRPr="00F276E7" w:rsidRDefault="00427E8C" w:rsidP="00EB0EAE">
            <w:pPr>
              <w:jc w:val="center"/>
              <w:rPr>
                <w:sz w:val="22"/>
                <w:szCs w:val="22"/>
              </w:rPr>
            </w:pPr>
            <w:r w:rsidRPr="00F276E7">
              <w:rPr>
                <w:sz w:val="22"/>
                <w:szCs w:val="22"/>
              </w:rPr>
              <w:t>-0.8872</w:t>
            </w:r>
          </w:p>
        </w:tc>
        <w:tc>
          <w:tcPr>
            <w:tcW w:w="2336" w:type="dxa"/>
          </w:tcPr>
          <w:p w14:paraId="1C65ABBC" w14:textId="77777777" w:rsidR="00427E8C" w:rsidRPr="00F276E7" w:rsidRDefault="00427E8C" w:rsidP="00EB0EAE">
            <w:pPr>
              <w:jc w:val="center"/>
              <w:rPr>
                <w:sz w:val="22"/>
                <w:szCs w:val="22"/>
              </w:rPr>
            </w:pPr>
            <w:r w:rsidRPr="00F276E7">
              <w:rPr>
                <w:sz w:val="22"/>
                <w:szCs w:val="22"/>
              </w:rPr>
              <w:t>-0.0592</w:t>
            </w:r>
          </w:p>
        </w:tc>
      </w:tr>
      <w:tr w:rsidR="00427E8C" w:rsidRPr="00DF5913" w14:paraId="30F79948" w14:textId="77777777" w:rsidTr="00427E8C">
        <w:trPr>
          <w:jc w:val="center"/>
        </w:trPr>
        <w:tc>
          <w:tcPr>
            <w:tcW w:w="2348" w:type="dxa"/>
            <w:shd w:val="clear" w:color="auto" w:fill="auto"/>
          </w:tcPr>
          <w:p w14:paraId="180BE25C" w14:textId="48D2E628" w:rsidR="00427E8C" w:rsidRPr="00F276E7" w:rsidRDefault="00427E8C" w:rsidP="00EB0EAE">
            <w:pPr>
              <w:jc w:val="center"/>
              <w:rPr>
                <w:sz w:val="22"/>
                <w:szCs w:val="22"/>
              </w:rPr>
            </w:pPr>
            <w:r w:rsidRPr="00F276E7">
              <w:rPr>
                <w:sz w:val="22"/>
                <w:szCs w:val="22"/>
              </w:rPr>
              <w:t>Tesla</w:t>
            </w:r>
          </w:p>
        </w:tc>
        <w:tc>
          <w:tcPr>
            <w:tcW w:w="2336" w:type="dxa"/>
          </w:tcPr>
          <w:p w14:paraId="29C90BAF" w14:textId="77777777" w:rsidR="00427E8C" w:rsidRPr="00F276E7" w:rsidRDefault="00427E8C" w:rsidP="00EB0EAE">
            <w:pPr>
              <w:jc w:val="center"/>
              <w:rPr>
                <w:sz w:val="22"/>
                <w:szCs w:val="22"/>
              </w:rPr>
            </w:pPr>
          </w:p>
        </w:tc>
        <w:tc>
          <w:tcPr>
            <w:tcW w:w="2336" w:type="dxa"/>
          </w:tcPr>
          <w:p w14:paraId="20D1F02C" w14:textId="77777777" w:rsidR="00427E8C" w:rsidRPr="00F276E7" w:rsidRDefault="00427E8C" w:rsidP="00EB0EAE">
            <w:pPr>
              <w:jc w:val="center"/>
              <w:rPr>
                <w:sz w:val="22"/>
                <w:szCs w:val="22"/>
              </w:rPr>
            </w:pPr>
          </w:p>
        </w:tc>
      </w:tr>
      <w:tr w:rsidR="00427E8C" w:rsidRPr="00DF5913" w14:paraId="4683DE52" w14:textId="77777777" w:rsidTr="00427E8C">
        <w:trPr>
          <w:jc w:val="center"/>
        </w:trPr>
        <w:tc>
          <w:tcPr>
            <w:tcW w:w="2348" w:type="dxa"/>
            <w:shd w:val="clear" w:color="auto" w:fill="auto"/>
          </w:tcPr>
          <w:p w14:paraId="7ED2EE30" w14:textId="77777777" w:rsidR="00427E8C" w:rsidRPr="00F276E7" w:rsidRDefault="00427E8C" w:rsidP="00EB0EAE">
            <w:pPr>
              <w:jc w:val="center"/>
              <w:rPr>
                <w:sz w:val="22"/>
                <w:szCs w:val="22"/>
              </w:rPr>
            </w:pPr>
            <w:r w:rsidRPr="00F276E7">
              <w:rPr>
                <w:sz w:val="22"/>
                <w:szCs w:val="22"/>
              </w:rPr>
              <w:t>Toyota</w:t>
            </w:r>
          </w:p>
        </w:tc>
        <w:tc>
          <w:tcPr>
            <w:tcW w:w="2336" w:type="dxa"/>
          </w:tcPr>
          <w:p w14:paraId="4DE9495C" w14:textId="77777777" w:rsidR="00427E8C" w:rsidRPr="00F276E7" w:rsidRDefault="00427E8C" w:rsidP="00EB0EAE">
            <w:pPr>
              <w:jc w:val="center"/>
              <w:rPr>
                <w:sz w:val="22"/>
                <w:szCs w:val="22"/>
              </w:rPr>
            </w:pPr>
            <w:r w:rsidRPr="00F276E7">
              <w:rPr>
                <w:sz w:val="22"/>
                <w:szCs w:val="22"/>
              </w:rPr>
              <w:t>2.2404</w:t>
            </w:r>
          </w:p>
        </w:tc>
        <w:tc>
          <w:tcPr>
            <w:tcW w:w="2336" w:type="dxa"/>
          </w:tcPr>
          <w:p w14:paraId="09B02B90" w14:textId="77777777" w:rsidR="00427E8C" w:rsidRPr="00F276E7" w:rsidRDefault="00427E8C" w:rsidP="00EB0EAE">
            <w:pPr>
              <w:jc w:val="center"/>
              <w:rPr>
                <w:sz w:val="22"/>
                <w:szCs w:val="22"/>
              </w:rPr>
            </w:pPr>
            <w:r w:rsidRPr="00F276E7">
              <w:rPr>
                <w:sz w:val="22"/>
                <w:szCs w:val="22"/>
              </w:rPr>
              <w:t>2.3850</w:t>
            </w:r>
          </w:p>
        </w:tc>
      </w:tr>
      <w:tr w:rsidR="00427E8C" w:rsidRPr="00DF5913" w14:paraId="351D6DBC" w14:textId="77777777" w:rsidTr="00427E8C">
        <w:trPr>
          <w:jc w:val="center"/>
        </w:trPr>
        <w:tc>
          <w:tcPr>
            <w:tcW w:w="2348" w:type="dxa"/>
            <w:shd w:val="clear" w:color="auto" w:fill="auto"/>
          </w:tcPr>
          <w:p w14:paraId="4BF4D3AB" w14:textId="491A44F9" w:rsidR="00427E8C" w:rsidRPr="00F276E7" w:rsidRDefault="00427E8C" w:rsidP="00EB0EAE">
            <w:pPr>
              <w:jc w:val="center"/>
              <w:rPr>
                <w:sz w:val="22"/>
                <w:szCs w:val="22"/>
              </w:rPr>
            </w:pPr>
            <w:r w:rsidRPr="00F276E7">
              <w:rPr>
                <w:sz w:val="22"/>
                <w:szCs w:val="22"/>
              </w:rPr>
              <w:t>Vauxhall</w:t>
            </w:r>
            <w:r w:rsidR="001600F3" w:rsidRPr="00F276E7">
              <w:rPr>
                <w:sz w:val="22"/>
                <w:szCs w:val="22"/>
              </w:rPr>
              <w:t>³</w:t>
            </w:r>
          </w:p>
        </w:tc>
        <w:tc>
          <w:tcPr>
            <w:tcW w:w="2336" w:type="dxa"/>
          </w:tcPr>
          <w:p w14:paraId="7EDD26A1" w14:textId="77777777" w:rsidR="00427E8C" w:rsidRPr="00F276E7" w:rsidRDefault="00427E8C" w:rsidP="00EB0EAE">
            <w:pPr>
              <w:jc w:val="center"/>
              <w:rPr>
                <w:sz w:val="22"/>
                <w:szCs w:val="22"/>
              </w:rPr>
            </w:pPr>
            <w:r w:rsidRPr="00F276E7">
              <w:rPr>
                <w:sz w:val="22"/>
                <w:szCs w:val="22"/>
              </w:rPr>
              <w:t>0.3613</w:t>
            </w:r>
          </w:p>
        </w:tc>
        <w:tc>
          <w:tcPr>
            <w:tcW w:w="2336" w:type="dxa"/>
            <w:shd w:val="clear" w:color="auto" w:fill="D9D9D9" w:themeFill="background1" w:themeFillShade="D9"/>
          </w:tcPr>
          <w:p w14:paraId="051FEEEB" w14:textId="77777777" w:rsidR="00427E8C" w:rsidRPr="00F276E7" w:rsidRDefault="00427E8C" w:rsidP="00EB0EAE">
            <w:pPr>
              <w:jc w:val="center"/>
              <w:rPr>
                <w:sz w:val="22"/>
                <w:szCs w:val="22"/>
              </w:rPr>
            </w:pPr>
          </w:p>
        </w:tc>
      </w:tr>
      <w:tr w:rsidR="00427E8C" w:rsidRPr="00DF5913" w14:paraId="2DE0EDCF" w14:textId="77777777" w:rsidTr="00427E8C">
        <w:trPr>
          <w:jc w:val="center"/>
        </w:trPr>
        <w:tc>
          <w:tcPr>
            <w:tcW w:w="2348" w:type="dxa"/>
            <w:shd w:val="clear" w:color="auto" w:fill="auto"/>
          </w:tcPr>
          <w:p w14:paraId="4507A043" w14:textId="77777777" w:rsidR="00427E8C" w:rsidRPr="00F276E7" w:rsidRDefault="00427E8C" w:rsidP="00EB0EAE">
            <w:pPr>
              <w:jc w:val="center"/>
              <w:rPr>
                <w:sz w:val="22"/>
                <w:szCs w:val="22"/>
              </w:rPr>
            </w:pPr>
            <w:r w:rsidRPr="00F276E7">
              <w:rPr>
                <w:sz w:val="22"/>
                <w:szCs w:val="22"/>
              </w:rPr>
              <w:t>Volkswagen</w:t>
            </w:r>
          </w:p>
        </w:tc>
        <w:tc>
          <w:tcPr>
            <w:tcW w:w="2336" w:type="dxa"/>
          </w:tcPr>
          <w:p w14:paraId="098A8AB8" w14:textId="77777777" w:rsidR="00427E8C" w:rsidRPr="00F276E7" w:rsidRDefault="00427E8C" w:rsidP="00EB0EAE">
            <w:pPr>
              <w:jc w:val="center"/>
              <w:rPr>
                <w:sz w:val="22"/>
                <w:szCs w:val="22"/>
              </w:rPr>
            </w:pPr>
            <w:r w:rsidRPr="00F276E7">
              <w:rPr>
                <w:sz w:val="22"/>
                <w:szCs w:val="22"/>
              </w:rPr>
              <w:t>0.9855</w:t>
            </w:r>
          </w:p>
        </w:tc>
        <w:tc>
          <w:tcPr>
            <w:tcW w:w="2336" w:type="dxa"/>
          </w:tcPr>
          <w:p w14:paraId="22F86254" w14:textId="77777777" w:rsidR="00427E8C" w:rsidRPr="00F276E7" w:rsidRDefault="00427E8C" w:rsidP="00EB0EAE">
            <w:pPr>
              <w:jc w:val="center"/>
              <w:rPr>
                <w:sz w:val="22"/>
                <w:szCs w:val="22"/>
              </w:rPr>
            </w:pPr>
            <w:r w:rsidRPr="00F276E7">
              <w:rPr>
                <w:sz w:val="22"/>
                <w:szCs w:val="22"/>
              </w:rPr>
              <w:t>-0.4667</w:t>
            </w:r>
          </w:p>
        </w:tc>
      </w:tr>
      <w:tr w:rsidR="00427E8C" w:rsidRPr="00DF5913" w14:paraId="3DCC59C8" w14:textId="77777777" w:rsidTr="00427E8C">
        <w:trPr>
          <w:jc w:val="center"/>
        </w:trPr>
        <w:tc>
          <w:tcPr>
            <w:tcW w:w="2348" w:type="dxa"/>
            <w:shd w:val="clear" w:color="auto" w:fill="auto"/>
          </w:tcPr>
          <w:p w14:paraId="36A1C007" w14:textId="77777777" w:rsidR="00427E8C" w:rsidRPr="00F276E7" w:rsidRDefault="00427E8C" w:rsidP="00EB0EAE">
            <w:pPr>
              <w:jc w:val="center"/>
              <w:rPr>
                <w:sz w:val="22"/>
                <w:szCs w:val="22"/>
              </w:rPr>
            </w:pPr>
            <w:r w:rsidRPr="00F276E7">
              <w:rPr>
                <w:sz w:val="22"/>
                <w:szCs w:val="22"/>
              </w:rPr>
              <w:t>Volvo</w:t>
            </w:r>
          </w:p>
        </w:tc>
        <w:tc>
          <w:tcPr>
            <w:tcW w:w="2336" w:type="dxa"/>
          </w:tcPr>
          <w:p w14:paraId="0C4E6ED5" w14:textId="77777777" w:rsidR="00427E8C" w:rsidRPr="00F276E7" w:rsidRDefault="00427E8C" w:rsidP="00EB0EAE">
            <w:pPr>
              <w:jc w:val="center"/>
              <w:rPr>
                <w:sz w:val="22"/>
                <w:szCs w:val="22"/>
              </w:rPr>
            </w:pPr>
            <w:r w:rsidRPr="00F276E7">
              <w:rPr>
                <w:sz w:val="22"/>
                <w:szCs w:val="22"/>
              </w:rPr>
              <w:t>0.2233</w:t>
            </w:r>
          </w:p>
        </w:tc>
        <w:tc>
          <w:tcPr>
            <w:tcW w:w="2336" w:type="dxa"/>
          </w:tcPr>
          <w:p w14:paraId="37FE9CA6" w14:textId="6A134493" w:rsidR="00427E8C" w:rsidRPr="00F276E7" w:rsidRDefault="00427E8C" w:rsidP="00EB0EAE">
            <w:pPr>
              <w:jc w:val="center"/>
              <w:rPr>
                <w:sz w:val="22"/>
                <w:szCs w:val="22"/>
              </w:rPr>
            </w:pPr>
            <w:r w:rsidRPr="00F276E7">
              <w:rPr>
                <w:sz w:val="22"/>
                <w:szCs w:val="22"/>
              </w:rPr>
              <w:t>0.4303</w:t>
            </w:r>
          </w:p>
        </w:tc>
      </w:tr>
    </w:tbl>
    <w:p w14:paraId="6FE0B435" w14:textId="77777777" w:rsidR="001E3D76" w:rsidRPr="00F276E7" w:rsidRDefault="001E3D76" w:rsidP="001D3375">
      <w:pPr>
        <w:rPr>
          <w:sz w:val="22"/>
          <w:szCs w:val="22"/>
        </w:rPr>
      </w:pPr>
    </w:p>
    <w:p w14:paraId="639D2073" w14:textId="1BADA6B2" w:rsidR="00777D90" w:rsidRPr="00F276E7" w:rsidRDefault="003D58C6" w:rsidP="001D3375">
      <w:pPr>
        <w:rPr>
          <w:sz w:val="21"/>
          <w:szCs w:val="21"/>
        </w:rPr>
      </w:pPr>
      <w:r w:rsidRPr="00F276E7">
        <w:rPr>
          <w:sz w:val="22"/>
          <w:szCs w:val="22"/>
        </w:rPr>
        <w:t>*</w:t>
      </w:r>
      <w:r w:rsidRPr="00F276E7">
        <w:rPr>
          <w:sz w:val="21"/>
          <w:szCs w:val="21"/>
        </w:rPr>
        <w:t xml:space="preserve">Only automakers which released new products into either the </w:t>
      </w:r>
      <w:r w:rsidR="0027742E" w:rsidRPr="00F276E7">
        <w:rPr>
          <w:sz w:val="21"/>
          <w:szCs w:val="21"/>
        </w:rPr>
        <w:t>U.S</w:t>
      </w:r>
      <w:r w:rsidR="00AA28CE" w:rsidRPr="00F276E7">
        <w:rPr>
          <w:sz w:val="21"/>
          <w:szCs w:val="21"/>
        </w:rPr>
        <w:t>.</w:t>
      </w:r>
      <w:r w:rsidRPr="00F276E7">
        <w:rPr>
          <w:sz w:val="21"/>
          <w:szCs w:val="21"/>
        </w:rPr>
        <w:t xml:space="preserve"> or </w:t>
      </w:r>
      <w:r w:rsidR="0027742E" w:rsidRPr="00F276E7">
        <w:rPr>
          <w:sz w:val="21"/>
          <w:szCs w:val="21"/>
        </w:rPr>
        <w:t>U.K</w:t>
      </w:r>
      <w:r w:rsidR="00AA28CE" w:rsidRPr="00F276E7">
        <w:rPr>
          <w:sz w:val="21"/>
          <w:szCs w:val="21"/>
        </w:rPr>
        <w:t>.</w:t>
      </w:r>
      <w:r w:rsidRPr="00F276E7">
        <w:rPr>
          <w:sz w:val="21"/>
          <w:szCs w:val="21"/>
        </w:rPr>
        <w:t xml:space="preserve"> marketplace during our period of investigation were included</w:t>
      </w:r>
    </w:p>
    <w:p w14:paraId="1AEDE8D0" w14:textId="56061778" w:rsidR="001600F3" w:rsidRPr="00F276E7" w:rsidRDefault="001600F3" w:rsidP="001D3375">
      <w:pPr>
        <w:rPr>
          <w:sz w:val="21"/>
          <w:szCs w:val="21"/>
        </w:rPr>
      </w:pPr>
      <w:r w:rsidRPr="00F276E7">
        <w:rPr>
          <w:sz w:val="21"/>
          <w:szCs w:val="21"/>
        </w:rPr>
        <w:t>¹Daewoo was acquired by General Motors in 2002</w:t>
      </w:r>
    </w:p>
    <w:p w14:paraId="1DF2D0F8" w14:textId="0FD4DB14" w:rsidR="001D3375" w:rsidRPr="00F276E7" w:rsidRDefault="001600F3" w:rsidP="001D3375">
      <w:pPr>
        <w:rPr>
          <w:sz w:val="21"/>
          <w:szCs w:val="21"/>
        </w:rPr>
      </w:pPr>
      <w:r w:rsidRPr="00F276E7">
        <w:rPr>
          <w:sz w:val="21"/>
          <w:szCs w:val="21"/>
        </w:rPr>
        <w:t>²</w:t>
      </w:r>
      <w:r w:rsidR="001D3375" w:rsidRPr="00F276E7">
        <w:rPr>
          <w:sz w:val="21"/>
          <w:szCs w:val="21"/>
        </w:rPr>
        <w:t xml:space="preserve"> The Skoda automobile (Skoda Octavia) is based on the Volkswagen Jetta</w:t>
      </w:r>
    </w:p>
    <w:p w14:paraId="074770DF" w14:textId="07F8E7D9" w:rsidR="001D3375" w:rsidRPr="00F276E7" w:rsidRDefault="001600F3" w:rsidP="001D3375">
      <w:pPr>
        <w:rPr>
          <w:sz w:val="21"/>
          <w:szCs w:val="21"/>
        </w:rPr>
      </w:pPr>
      <w:r w:rsidRPr="00F276E7">
        <w:rPr>
          <w:sz w:val="21"/>
          <w:szCs w:val="21"/>
        </w:rPr>
        <w:t>³</w:t>
      </w:r>
      <w:r w:rsidR="001D3375" w:rsidRPr="00F276E7">
        <w:rPr>
          <w:sz w:val="21"/>
          <w:szCs w:val="21"/>
        </w:rPr>
        <w:t xml:space="preserve"> Vauxhall models are branded as Chevrolet in the </w:t>
      </w:r>
      <w:r w:rsidR="000A1B0A" w:rsidRPr="00F276E7">
        <w:rPr>
          <w:sz w:val="21"/>
          <w:szCs w:val="21"/>
        </w:rPr>
        <w:t>U.S</w:t>
      </w:r>
      <w:r w:rsidR="00AA28CE" w:rsidRPr="00F276E7">
        <w:rPr>
          <w:sz w:val="21"/>
          <w:szCs w:val="21"/>
        </w:rPr>
        <w:t>.</w:t>
      </w:r>
    </w:p>
    <w:p w14:paraId="4118871F" w14:textId="77777777" w:rsidR="006D5FDD" w:rsidRPr="00F276E7" w:rsidRDefault="006D5FDD" w:rsidP="00A37579">
      <w:pPr>
        <w:jc w:val="center"/>
        <w:rPr>
          <w:b/>
          <w:sz w:val="22"/>
          <w:szCs w:val="22"/>
        </w:rPr>
        <w:sectPr w:rsidR="006D5FDD" w:rsidRPr="00F276E7" w:rsidSect="00784905">
          <w:footnotePr>
            <w:pos w:val="beneathText"/>
          </w:footnotePr>
          <w:pgSz w:w="12240" w:h="15840"/>
          <w:pgMar w:top="1440" w:right="1440" w:bottom="1440" w:left="1440" w:header="720" w:footer="720" w:gutter="0"/>
          <w:cols w:space="720"/>
          <w:docGrid w:linePitch="360"/>
        </w:sectPr>
      </w:pPr>
    </w:p>
    <w:p w14:paraId="56D691B2" w14:textId="3CF5693F" w:rsidR="00A37579" w:rsidRPr="00F276E7" w:rsidRDefault="00A37579" w:rsidP="00A37579">
      <w:pPr>
        <w:jc w:val="center"/>
        <w:rPr>
          <w:b/>
          <w:sz w:val="22"/>
          <w:szCs w:val="22"/>
        </w:rPr>
      </w:pPr>
      <w:r w:rsidRPr="00F276E7">
        <w:rPr>
          <w:b/>
          <w:sz w:val="22"/>
          <w:szCs w:val="22"/>
        </w:rPr>
        <w:lastRenderedPageBreak/>
        <w:t>T</w:t>
      </w:r>
      <w:r w:rsidR="00422366" w:rsidRPr="00F276E7">
        <w:rPr>
          <w:b/>
          <w:sz w:val="22"/>
          <w:szCs w:val="22"/>
        </w:rPr>
        <w:t>ABLE</w:t>
      </w:r>
      <w:r w:rsidRPr="00F276E7">
        <w:rPr>
          <w:b/>
          <w:sz w:val="22"/>
          <w:szCs w:val="22"/>
        </w:rPr>
        <w:t xml:space="preserve"> </w:t>
      </w:r>
      <w:r w:rsidR="00EC29BB" w:rsidRPr="00F276E7">
        <w:rPr>
          <w:b/>
          <w:sz w:val="22"/>
          <w:szCs w:val="22"/>
        </w:rPr>
        <w:t>5</w:t>
      </w:r>
      <w:r w:rsidRPr="00F276E7">
        <w:rPr>
          <w:b/>
          <w:sz w:val="22"/>
          <w:szCs w:val="22"/>
        </w:rPr>
        <w:t xml:space="preserve"> – </w:t>
      </w:r>
      <w:r w:rsidR="00422366" w:rsidRPr="00F276E7">
        <w:rPr>
          <w:b/>
          <w:sz w:val="22"/>
          <w:szCs w:val="22"/>
        </w:rPr>
        <w:t xml:space="preserve">PROBABILITY OF A RECALL OVER TIME BASED ON </w:t>
      </w:r>
      <w:r w:rsidR="00DC1F34" w:rsidRPr="00F276E7">
        <w:rPr>
          <w:b/>
          <w:sz w:val="22"/>
          <w:szCs w:val="22"/>
        </w:rPr>
        <w:t>REGULATORY ENVIRONMENT</w:t>
      </w:r>
    </w:p>
    <w:p w14:paraId="20B35606" w14:textId="3F8DE992" w:rsidR="00A12E2F" w:rsidRPr="00F276E7" w:rsidRDefault="0008730B" w:rsidP="00F276E7">
      <w:pPr>
        <w:spacing w:before="240"/>
        <w:jc w:val="center"/>
        <w:rPr>
          <w:b/>
          <w:i/>
          <w:iCs/>
          <w:sz w:val="22"/>
          <w:szCs w:val="22"/>
        </w:rPr>
      </w:pPr>
      <w:r w:rsidRPr="00F276E7">
        <w:rPr>
          <w:b/>
          <w:i/>
          <w:iCs/>
          <w:sz w:val="22"/>
          <w:szCs w:val="22"/>
        </w:rPr>
        <w:t>U.K and Germany regulations target consumers</w:t>
      </w:r>
      <w:r w:rsidR="0033257F" w:rsidRPr="00F276E7">
        <w:rPr>
          <w:b/>
          <w:i/>
          <w:iCs/>
          <w:sz w:val="22"/>
          <w:szCs w:val="22"/>
        </w:rPr>
        <w:t xml:space="preserve">/ </w:t>
      </w:r>
      <w:r w:rsidR="0033257F" w:rsidRPr="00F276E7">
        <w:rPr>
          <w:bCs/>
          <w:i/>
          <w:iCs/>
          <w:sz w:val="22"/>
          <w:szCs w:val="22"/>
        </w:rPr>
        <w:t>U.S and Australia regulations target firms</w:t>
      </w:r>
    </w:p>
    <w:p w14:paraId="7AB166C0" w14:textId="077805F4" w:rsidR="00123CAC" w:rsidRPr="00123CAC" w:rsidRDefault="00123CAC" w:rsidP="0008730B">
      <w:pPr>
        <w:jc w:val="center"/>
        <w:rPr>
          <w:b/>
        </w:rPr>
      </w:pPr>
    </w:p>
    <w:tbl>
      <w:tblPr>
        <w:tblStyle w:val="TableGrid"/>
        <w:tblW w:w="146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5"/>
        <w:gridCol w:w="270"/>
        <w:gridCol w:w="1260"/>
        <w:gridCol w:w="900"/>
        <w:gridCol w:w="1260"/>
        <w:gridCol w:w="900"/>
        <w:gridCol w:w="1170"/>
        <w:gridCol w:w="900"/>
        <w:gridCol w:w="1170"/>
        <w:gridCol w:w="900"/>
        <w:gridCol w:w="1080"/>
        <w:gridCol w:w="905"/>
        <w:gridCol w:w="1440"/>
        <w:gridCol w:w="990"/>
      </w:tblGrid>
      <w:tr w:rsidR="002929DD" w14:paraId="0197563B" w14:textId="77777777" w:rsidTr="00EB3F3B">
        <w:trPr>
          <w:jc w:val="center"/>
        </w:trPr>
        <w:tc>
          <w:tcPr>
            <w:tcW w:w="1525" w:type="dxa"/>
          </w:tcPr>
          <w:p w14:paraId="230AA4FA" w14:textId="375AAB20" w:rsidR="00FA6B66" w:rsidRPr="00540D8E" w:rsidRDefault="00FA6B66" w:rsidP="00A37579">
            <w:pPr>
              <w:jc w:val="center"/>
              <w:rPr>
                <w:bCs/>
                <w:sz w:val="20"/>
                <w:szCs w:val="20"/>
              </w:rPr>
            </w:pPr>
            <w:r w:rsidRPr="00540D8E">
              <w:rPr>
                <w:bCs/>
                <w:sz w:val="20"/>
                <w:szCs w:val="20"/>
              </w:rPr>
              <w:t>Predictor</w:t>
            </w:r>
          </w:p>
        </w:tc>
        <w:tc>
          <w:tcPr>
            <w:tcW w:w="270" w:type="dxa"/>
          </w:tcPr>
          <w:p w14:paraId="6A67C569" w14:textId="77777777" w:rsidR="00FA6B66" w:rsidRPr="00540D8E" w:rsidRDefault="00FA6B66" w:rsidP="00A37579">
            <w:pPr>
              <w:jc w:val="center"/>
              <w:rPr>
                <w:bCs/>
                <w:sz w:val="20"/>
                <w:szCs w:val="20"/>
              </w:rPr>
            </w:pPr>
          </w:p>
        </w:tc>
        <w:tc>
          <w:tcPr>
            <w:tcW w:w="2160" w:type="dxa"/>
            <w:gridSpan w:val="2"/>
          </w:tcPr>
          <w:p w14:paraId="52D5CED4" w14:textId="3900B06B" w:rsidR="00FA6B66" w:rsidRPr="00540D8E" w:rsidRDefault="00F55AF8" w:rsidP="00A37579">
            <w:pPr>
              <w:jc w:val="center"/>
              <w:rPr>
                <w:bCs/>
                <w:sz w:val="20"/>
                <w:szCs w:val="20"/>
              </w:rPr>
            </w:pPr>
            <w:r w:rsidRPr="00540D8E">
              <w:rPr>
                <w:b/>
                <w:sz w:val="20"/>
                <w:szCs w:val="20"/>
              </w:rPr>
              <w:t>U.K</w:t>
            </w:r>
            <w:r w:rsidRPr="00540D8E">
              <w:rPr>
                <w:bCs/>
                <w:sz w:val="20"/>
                <w:szCs w:val="20"/>
              </w:rPr>
              <w:t xml:space="preserve"> vs. U.S</w:t>
            </w:r>
            <w:r w:rsidR="00FA6B66" w:rsidRPr="00540D8E">
              <w:rPr>
                <w:bCs/>
                <w:sz w:val="20"/>
                <w:szCs w:val="20"/>
              </w:rPr>
              <w:t xml:space="preserve"> </w:t>
            </w:r>
          </w:p>
        </w:tc>
        <w:tc>
          <w:tcPr>
            <w:tcW w:w="2160" w:type="dxa"/>
            <w:gridSpan w:val="2"/>
          </w:tcPr>
          <w:p w14:paraId="5C773183" w14:textId="3F12C9AC" w:rsidR="00FA6B66" w:rsidRPr="00540D8E" w:rsidRDefault="003C5809" w:rsidP="00A37579">
            <w:pPr>
              <w:jc w:val="center"/>
              <w:rPr>
                <w:bCs/>
                <w:sz w:val="20"/>
                <w:szCs w:val="20"/>
              </w:rPr>
            </w:pPr>
            <w:r w:rsidRPr="00540D8E">
              <w:rPr>
                <w:b/>
                <w:sz w:val="20"/>
                <w:szCs w:val="20"/>
              </w:rPr>
              <w:t>Germany</w:t>
            </w:r>
            <w:r w:rsidRPr="00540D8E">
              <w:rPr>
                <w:bCs/>
                <w:sz w:val="20"/>
                <w:szCs w:val="20"/>
              </w:rPr>
              <w:t xml:space="preserve"> vs. U.S</w:t>
            </w:r>
          </w:p>
        </w:tc>
        <w:tc>
          <w:tcPr>
            <w:tcW w:w="2070" w:type="dxa"/>
            <w:gridSpan w:val="2"/>
          </w:tcPr>
          <w:p w14:paraId="5387F781" w14:textId="3667FB45" w:rsidR="00FA6B66" w:rsidRPr="00540D8E" w:rsidRDefault="003C5809" w:rsidP="00A37579">
            <w:pPr>
              <w:jc w:val="center"/>
              <w:rPr>
                <w:bCs/>
                <w:sz w:val="20"/>
                <w:szCs w:val="20"/>
              </w:rPr>
            </w:pPr>
            <w:r w:rsidRPr="00540D8E">
              <w:rPr>
                <w:bCs/>
                <w:sz w:val="20"/>
                <w:szCs w:val="20"/>
              </w:rPr>
              <w:t>Australia vs. U.S</w:t>
            </w:r>
          </w:p>
        </w:tc>
        <w:tc>
          <w:tcPr>
            <w:tcW w:w="2070" w:type="dxa"/>
            <w:gridSpan w:val="2"/>
          </w:tcPr>
          <w:p w14:paraId="10C1C57B" w14:textId="7B9A56C6" w:rsidR="00FA6B66" w:rsidRPr="00540D8E" w:rsidRDefault="00FA6B66" w:rsidP="00FA6B66">
            <w:pPr>
              <w:jc w:val="center"/>
              <w:rPr>
                <w:b/>
                <w:sz w:val="20"/>
                <w:szCs w:val="20"/>
              </w:rPr>
            </w:pPr>
            <w:r w:rsidRPr="00540D8E">
              <w:rPr>
                <w:b/>
                <w:sz w:val="20"/>
                <w:szCs w:val="20"/>
              </w:rPr>
              <w:t>U.K vs. Germany</w:t>
            </w:r>
          </w:p>
        </w:tc>
        <w:tc>
          <w:tcPr>
            <w:tcW w:w="1985" w:type="dxa"/>
            <w:gridSpan w:val="2"/>
          </w:tcPr>
          <w:p w14:paraId="5B722301" w14:textId="73882EEF" w:rsidR="00FA6B66" w:rsidRPr="00540D8E" w:rsidRDefault="00FA6B66" w:rsidP="00A37579">
            <w:pPr>
              <w:jc w:val="center"/>
              <w:rPr>
                <w:bCs/>
                <w:sz w:val="20"/>
                <w:szCs w:val="20"/>
              </w:rPr>
            </w:pPr>
            <w:r w:rsidRPr="00540D8E">
              <w:rPr>
                <w:b/>
                <w:sz w:val="20"/>
                <w:szCs w:val="20"/>
              </w:rPr>
              <w:t>U.K</w:t>
            </w:r>
            <w:r w:rsidRPr="00540D8E">
              <w:rPr>
                <w:bCs/>
                <w:sz w:val="20"/>
                <w:szCs w:val="20"/>
              </w:rPr>
              <w:t xml:space="preserve"> vs. Australia</w:t>
            </w:r>
          </w:p>
        </w:tc>
        <w:tc>
          <w:tcPr>
            <w:tcW w:w="2430" w:type="dxa"/>
            <w:gridSpan w:val="2"/>
          </w:tcPr>
          <w:p w14:paraId="2A9D238A" w14:textId="1B6750E4" w:rsidR="00FA6B66" w:rsidRPr="00540D8E" w:rsidRDefault="00FA6B66" w:rsidP="00A37579">
            <w:pPr>
              <w:jc w:val="center"/>
              <w:rPr>
                <w:bCs/>
                <w:sz w:val="20"/>
                <w:szCs w:val="20"/>
              </w:rPr>
            </w:pPr>
            <w:r w:rsidRPr="00540D8E">
              <w:rPr>
                <w:b/>
                <w:sz w:val="20"/>
                <w:szCs w:val="20"/>
              </w:rPr>
              <w:t xml:space="preserve">Germany </w:t>
            </w:r>
            <w:r w:rsidRPr="00540D8E">
              <w:rPr>
                <w:bCs/>
                <w:sz w:val="20"/>
                <w:szCs w:val="20"/>
              </w:rPr>
              <w:t>vs. Australia</w:t>
            </w:r>
          </w:p>
        </w:tc>
      </w:tr>
      <w:tr w:rsidR="002929DD" w14:paraId="718DAE9A" w14:textId="77777777" w:rsidTr="00EB3F3B">
        <w:trPr>
          <w:jc w:val="center"/>
        </w:trPr>
        <w:tc>
          <w:tcPr>
            <w:tcW w:w="1525" w:type="dxa"/>
            <w:tcBorders>
              <w:bottom w:val="single" w:sz="4" w:space="0" w:color="auto"/>
            </w:tcBorders>
          </w:tcPr>
          <w:p w14:paraId="39C468AE" w14:textId="77777777" w:rsidR="00FA6B66" w:rsidRPr="005C6F4C" w:rsidRDefault="00FA6B66" w:rsidP="00FA6B66">
            <w:pPr>
              <w:rPr>
                <w:sz w:val="20"/>
                <w:szCs w:val="20"/>
              </w:rPr>
            </w:pPr>
          </w:p>
        </w:tc>
        <w:tc>
          <w:tcPr>
            <w:tcW w:w="270" w:type="dxa"/>
            <w:tcBorders>
              <w:bottom w:val="single" w:sz="4" w:space="0" w:color="auto"/>
            </w:tcBorders>
          </w:tcPr>
          <w:p w14:paraId="3EF0B400" w14:textId="77777777" w:rsidR="00FA6B66" w:rsidRPr="00540D8E" w:rsidRDefault="00FA6B66" w:rsidP="00FA6B66">
            <w:pPr>
              <w:jc w:val="center"/>
              <w:rPr>
                <w:b/>
                <w:sz w:val="20"/>
                <w:szCs w:val="20"/>
              </w:rPr>
            </w:pPr>
          </w:p>
        </w:tc>
        <w:tc>
          <w:tcPr>
            <w:tcW w:w="1260" w:type="dxa"/>
            <w:tcBorders>
              <w:bottom w:val="single" w:sz="4" w:space="0" w:color="auto"/>
            </w:tcBorders>
          </w:tcPr>
          <w:p w14:paraId="33364735" w14:textId="36FCCF0C" w:rsidR="00FA6B66" w:rsidRPr="00540D8E" w:rsidRDefault="00FA6B66" w:rsidP="00FA6B66">
            <w:pPr>
              <w:jc w:val="center"/>
              <w:rPr>
                <w:bCs/>
                <w:sz w:val="20"/>
                <w:szCs w:val="20"/>
              </w:rPr>
            </w:pPr>
            <w:r w:rsidRPr="00540D8E">
              <w:rPr>
                <w:bCs/>
                <w:sz w:val="20"/>
                <w:szCs w:val="20"/>
              </w:rPr>
              <w:t>PE¹ (SE)</w:t>
            </w:r>
          </w:p>
        </w:tc>
        <w:tc>
          <w:tcPr>
            <w:tcW w:w="900" w:type="dxa"/>
            <w:tcBorders>
              <w:bottom w:val="single" w:sz="4" w:space="0" w:color="auto"/>
            </w:tcBorders>
          </w:tcPr>
          <w:p w14:paraId="31E5238A" w14:textId="4C99B9ED" w:rsidR="00FA6B66" w:rsidRPr="00540D8E" w:rsidRDefault="00FA6B66" w:rsidP="00FA6B66">
            <w:pPr>
              <w:jc w:val="center"/>
              <w:rPr>
                <w:bCs/>
                <w:sz w:val="20"/>
                <w:szCs w:val="20"/>
              </w:rPr>
            </w:pPr>
            <w:r w:rsidRPr="00540D8E">
              <w:rPr>
                <w:bCs/>
                <w:sz w:val="20"/>
                <w:szCs w:val="20"/>
              </w:rPr>
              <w:t>Chi-Sq.</w:t>
            </w:r>
          </w:p>
        </w:tc>
        <w:tc>
          <w:tcPr>
            <w:tcW w:w="1260" w:type="dxa"/>
            <w:tcBorders>
              <w:bottom w:val="single" w:sz="4" w:space="0" w:color="auto"/>
            </w:tcBorders>
          </w:tcPr>
          <w:p w14:paraId="4456829D" w14:textId="5FAAC907" w:rsidR="00FA6B66" w:rsidRPr="00540D8E" w:rsidRDefault="00FA6B66" w:rsidP="00FA6B66">
            <w:pPr>
              <w:jc w:val="center"/>
              <w:rPr>
                <w:bCs/>
                <w:sz w:val="20"/>
                <w:szCs w:val="20"/>
              </w:rPr>
            </w:pPr>
            <w:r w:rsidRPr="00540D8E">
              <w:rPr>
                <w:bCs/>
                <w:sz w:val="20"/>
                <w:szCs w:val="20"/>
              </w:rPr>
              <w:t>PE (SE)</w:t>
            </w:r>
          </w:p>
        </w:tc>
        <w:tc>
          <w:tcPr>
            <w:tcW w:w="900" w:type="dxa"/>
            <w:tcBorders>
              <w:bottom w:val="single" w:sz="4" w:space="0" w:color="auto"/>
            </w:tcBorders>
          </w:tcPr>
          <w:p w14:paraId="747AA141" w14:textId="6EA6B4DB" w:rsidR="00FA6B66" w:rsidRPr="00540D8E" w:rsidRDefault="00FA6B66" w:rsidP="00FA6B66">
            <w:pPr>
              <w:jc w:val="center"/>
              <w:rPr>
                <w:bCs/>
                <w:sz w:val="20"/>
                <w:szCs w:val="20"/>
              </w:rPr>
            </w:pPr>
            <w:r w:rsidRPr="00540D8E">
              <w:rPr>
                <w:bCs/>
                <w:sz w:val="20"/>
                <w:szCs w:val="20"/>
              </w:rPr>
              <w:t>Chi-Sq.</w:t>
            </w:r>
          </w:p>
        </w:tc>
        <w:tc>
          <w:tcPr>
            <w:tcW w:w="1170" w:type="dxa"/>
            <w:tcBorders>
              <w:bottom w:val="single" w:sz="4" w:space="0" w:color="auto"/>
            </w:tcBorders>
          </w:tcPr>
          <w:p w14:paraId="45DD8A04" w14:textId="67EE1EAF" w:rsidR="00FA6B66" w:rsidRPr="00540D8E" w:rsidRDefault="00FA6B66" w:rsidP="00FA6B66">
            <w:pPr>
              <w:jc w:val="center"/>
              <w:rPr>
                <w:bCs/>
                <w:sz w:val="20"/>
                <w:szCs w:val="20"/>
              </w:rPr>
            </w:pPr>
            <w:r w:rsidRPr="00540D8E">
              <w:rPr>
                <w:bCs/>
                <w:sz w:val="20"/>
                <w:szCs w:val="20"/>
              </w:rPr>
              <w:t>PE (SE)</w:t>
            </w:r>
          </w:p>
        </w:tc>
        <w:tc>
          <w:tcPr>
            <w:tcW w:w="900" w:type="dxa"/>
            <w:tcBorders>
              <w:bottom w:val="single" w:sz="4" w:space="0" w:color="auto"/>
            </w:tcBorders>
          </w:tcPr>
          <w:p w14:paraId="7D440A7F" w14:textId="2C28FCCB" w:rsidR="00FA6B66" w:rsidRPr="00540D8E" w:rsidRDefault="00FA6B66" w:rsidP="00FA6B66">
            <w:pPr>
              <w:jc w:val="center"/>
              <w:rPr>
                <w:bCs/>
                <w:sz w:val="20"/>
                <w:szCs w:val="20"/>
              </w:rPr>
            </w:pPr>
            <w:r w:rsidRPr="00540D8E">
              <w:rPr>
                <w:bCs/>
                <w:sz w:val="20"/>
                <w:szCs w:val="20"/>
              </w:rPr>
              <w:t>Chi-Sq.</w:t>
            </w:r>
          </w:p>
        </w:tc>
        <w:tc>
          <w:tcPr>
            <w:tcW w:w="1170" w:type="dxa"/>
            <w:tcBorders>
              <w:bottom w:val="single" w:sz="4" w:space="0" w:color="auto"/>
            </w:tcBorders>
          </w:tcPr>
          <w:p w14:paraId="5F049225" w14:textId="75BDB143" w:rsidR="00FA6B66" w:rsidRPr="00540D8E" w:rsidRDefault="00FA6B66" w:rsidP="00FA6B66">
            <w:pPr>
              <w:jc w:val="center"/>
              <w:rPr>
                <w:bCs/>
                <w:sz w:val="20"/>
                <w:szCs w:val="20"/>
              </w:rPr>
            </w:pPr>
            <w:r w:rsidRPr="00540D8E">
              <w:rPr>
                <w:bCs/>
                <w:sz w:val="20"/>
                <w:szCs w:val="20"/>
              </w:rPr>
              <w:t>PE (SE)</w:t>
            </w:r>
          </w:p>
        </w:tc>
        <w:tc>
          <w:tcPr>
            <w:tcW w:w="900" w:type="dxa"/>
            <w:tcBorders>
              <w:bottom w:val="single" w:sz="4" w:space="0" w:color="auto"/>
            </w:tcBorders>
          </w:tcPr>
          <w:p w14:paraId="4D677559" w14:textId="5EAA67DB" w:rsidR="00FA6B66" w:rsidRPr="00540D8E" w:rsidRDefault="00FA6B66" w:rsidP="00FA6B66">
            <w:pPr>
              <w:jc w:val="center"/>
              <w:rPr>
                <w:bCs/>
                <w:sz w:val="20"/>
                <w:szCs w:val="20"/>
              </w:rPr>
            </w:pPr>
            <w:r w:rsidRPr="00540D8E">
              <w:rPr>
                <w:bCs/>
                <w:sz w:val="20"/>
                <w:szCs w:val="20"/>
              </w:rPr>
              <w:t>Chi-Sq.</w:t>
            </w:r>
          </w:p>
        </w:tc>
        <w:tc>
          <w:tcPr>
            <w:tcW w:w="1080" w:type="dxa"/>
            <w:tcBorders>
              <w:bottom w:val="single" w:sz="4" w:space="0" w:color="auto"/>
            </w:tcBorders>
          </w:tcPr>
          <w:p w14:paraId="150DC45B" w14:textId="1BC97801" w:rsidR="00FA6B66" w:rsidRPr="00540D8E" w:rsidRDefault="00FA6B66" w:rsidP="00FA6B66">
            <w:pPr>
              <w:jc w:val="center"/>
              <w:rPr>
                <w:bCs/>
                <w:sz w:val="20"/>
                <w:szCs w:val="20"/>
              </w:rPr>
            </w:pPr>
            <w:r w:rsidRPr="00540D8E">
              <w:rPr>
                <w:bCs/>
                <w:sz w:val="20"/>
                <w:szCs w:val="20"/>
              </w:rPr>
              <w:t>PE (SE)</w:t>
            </w:r>
          </w:p>
        </w:tc>
        <w:tc>
          <w:tcPr>
            <w:tcW w:w="905" w:type="dxa"/>
            <w:tcBorders>
              <w:bottom w:val="single" w:sz="4" w:space="0" w:color="auto"/>
            </w:tcBorders>
          </w:tcPr>
          <w:p w14:paraId="0B224D7B" w14:textId="1B0D8F23" w:rsidR="00FA6B66" w:rsidRPr="00540D8E" w:rsidRDefault="00FA6B66" w:rsidP="00FA6B66">
            <w:pPr>
              <w:jc w:val="center"/>
              <w:rPr>
                <w:bCs/>
                <w:sz w:val="20"/>
                <w:szCs w:val="20"/>
              </w:rPr>
            </w:pPr>
            <w:r w:rsidRPr="00540D8E">
              <w:rPr>
                <w:bCs/>
                <w:sz w:val="20"/>
                <w:szCs w:val="20"/>
              </w:rPr>
              <w:t>Chi-Sq.</w:t>
            </w:r>
          </w:p>
        </w:tc>
        <w:tc>
          <w:tcPr>
            <w:tcW w:w="1440" w:type="dxa"/>
            <w:tcBorders>
              <w:bottom w:val="single" w:sz="4" w:space="0" w:color="auto"/>
            </w:tcBorders>
          </w:tcPr>
          <w:p w14:paraId="4C78CEF3" w14:textId="1F412622" w:rsidR="00FA6B66" w:rsidRPr="00540D8E" w:rsidRDefault="00FA6B66" w:rsidP="00FA6B66">
            <w:pPr>
              <w:jc w:val="center"/>
              <w:rPr>
                <w:bCs/>
                <w:sz w:val="20"/>
                <w:szCs w:val="20"/>
              </w:rPr>
            </w:pPr>
            <w:r w:rsidRPr="00540D8E">
              <w:rPr>
                <w:bCs/>
                <w:sz w:val="20"/>
                <w:szCs w:val="20"/>
              </w:rPr>
              <w:t>PE (SE)</w:t>
            </w:r>
          </w:p>
        </w:tc>
        <w:tc>
          <w:tcPr>
            <w:tcW w:w="990" w:type="dxa"/>
            <w:tcBorders>
              <w:bottom w:val="single" w:sz="4" w:space="0" w:color="auto"/>
            </w:tcBorders>
          </w:tcPr>
          <w:p w14:paraId="01DBD396" w14:textId="21609A34" w:rsidR="00FA6B66" w:rsidRPr="00540D8E" w:rsidRDefault="00FA6B66" w:rsidP="00FA6B66">
            <w:pPr>
              <w:jc w:val="center"/>
              <w:rPr>
                <w:bCs/>
                <w:sz w:val="20"/>
                <w:szCs w:val="20"/>
              </w:rPr>
            </w:pPr>
            <w:r w:rsidRPr="00540D8E">
              <w:rPr>
                <w:bCs/>
                <w:sz w:val="20"/>
                <w:szCs w:val="20"/>
              </w:rPr>
              <w:t>Chi-Sq.</w:t>
            </w:r>
          </w:p>
        </w:tc>
      </w:tr>
      <w:tr w:rsidR="00EB3F3B" w14:paraId="0ACD39F2" w14:textId="77777777" w:rsidTr="00EB3F3B">
        <w:trPr>
          <w:jc w:val="center"/>
        </w:trPr>
        <w:tc>
          <w:tcPr>
            <w:tcW w:w="1525" w:type="dxa"/>
            <w:tcBorders>
              <w:top w:val="single" w:sz="4" w:space="0" w:color="auto"/>
            </w:tcBorders>
          </w:tcPr>
          <w:p w14:paraId="17C43E01" w14:textId="77777777" w:rsidR="00EB3F3B" w:rsidRPr="005C6F4C" w:rsidRDefault="00EB3F3B" w:rsidP="00540D8E">
            <w:pPr>
              <w:rPr>
                <w:sz w:val="20"/>
                <w:szCs w:val="20"/>
              </w:rPr>
            </w:pPr>
          </w:p>
        </w:tc>
        <w:tc>
          <w:tcPr>
            <w:tcW w:w="270" w:type="dxa"/>
            <w:tcBorders>
              <w:top w:val="single" w:sz="4" w:space="0" w:color="auto"/>
            </w:tcBorders>
          </w:tcPr>
          <w:p w14:paraId="5E8B7AA9" w14:textId="77777777" w:rsidR="00EB3F3B" w:rsidRPr="00540D8E" w:rsidRDefault="00EB3F3B" w:rsidP="00FA6B66">
            <w:pPr>
              <w:jc w:val="center"/>
              <w:rPr>
                <w:b/>
                <w:sz w:val="20"/>
                <w:szCs w:val="20"/>
              </w:rPr>
            </w:pPr>
          </w:p>
        </w:tc>
        <w:tc>
          <w:tcPr>
            <w:tcW w:w="1260" w:type="dxa"/>
            <w:tcBorders>
              <w:top w:val="single" w:sz="4" w:space="0" w:color="auto"/>
            </w:tcBorders>
          </w:tcPr>
          <w:p w14:paraId="27ED9E7B" w14:textId="77777777" w:rsidR="00EB3F3B" w:rsidRPr="00540D8E" w:rsidRDefault="00EB3F3B" w:rsidP="00FA6B66">
            <w:pPr>
              <w:jc w:val="center"/>
              <w:rPr>
                <w:bCs/>
                <w:sz w:val="20"/>
                <w:szCs w:val="20"/>
              </w:rPr>
            </w:pPr>
          </w:p>
        </w:tc>
        <w:tc>
          <w:tcPr>
            <w:tcW w:w="900" w:type="dxa"/>
            <w:tcBorders>
              <w:top w:val="single" w:sz="4" w:space="0" w:color="auto"/>
            </w:tcBorders>
          </w:tcPr>
          <w:p w14:paraId="61E59C8A" w14:textId="77777777" w:rsidR="00EB3F3B" w:rsidRPr="00540D8E" w:rsidRDefault="00EB3F3B" w:rsidP="00FA6B66">
            <w:pPr>
              <w:jc w:val="center"/>
              <w:rPr>
                <w:bCs/>
                <w:sz w:val="20"/>
                <w:szCs w:val="20"/>
              </w:rPr>
            </w:pPr>
          </w:p>
        </w:tc>
        <w:tc>
          <w:tcPr>
            <w:tcW w:w="1260" w:type="dxa"/>
            <w:tcBorders>
              <w:top w:val="single" w:sz="4" w:space="0" w:color="auto"/>
            </w:tcBorders>
          </w:tcPr>
          <w:p w14:paraId="40B33B64" w14:textId="77777777" w:rsidR="00EB3F3B" w:rsidRPr="00540D8E" w:rsidRDefault="00EB3F3B" w:rsidP="00FA6B66">
            <w:pPr>
              <w:jc w:val="center"/>
              <w:rPr>
                <w:bCs/>
                <w:sz w:val="20"/>
                <w:szCs w:val="20"/>
              </w:rPr>
            </w:pPr>
          </w:p>
        </w:tc>
        <w:tc>
          <w:tcPr>
            <w:tcW w:w="900" w:type="dxa"/>
            <w:tcBorders>
              <w:top w:val="single" w:sz="4" w:space="0" w:color="auto"/>
            </w:tcBorders>
          </w:tcPr>
          <w:p w14:paraId="36FA3C54" w14:textId="77777777" w:rsidR="00EB3F3B" w:rsidRPr="00540D8E" w:rsidRDefault="00EB3F3B" w:rsidP="00FA6B66">
            <w:pPr>
              <w:jc w:val="center"/>
              <w:rPr>
                <w:bCs/>
                <w:sz w:val="20"/>
                <w:szCs w:val="20"/>
              </w:rPr>
            </w:pPr>
          </w:p>
        </w:tc>
        <w:tc>
          <w:tcPr>
            <w:tcW w:w="1170" w:type="dxa"/>
            <w:tcBorders>
              <w:top w:val="single" w:sz="4" w:space="0" w:color="auto"/>
            </w:tcBorders>
          </w:tcPr>
          <w:p w14:paraId="38E9238E" w14:textId="77777777" w:rsidR="00EB3F3B" w:rsidRPr="00540D8E" w:rsidRDefault="00EB3F3B" w:rsidP="00FA6B66">
            <w:pPr>
              <w:jc w:val="center"/>
              <w:rPr>
                <w:bCs/>
                <w:sz w:val="20"/>
                <w:szCs w:val="20"/>
              </w:rPr>
            </w:pPr>
          </w:p>
        </w:tc>
        <w:tc>
          <w:tcPr>
            <w:tcW w:w="900" w:type="dxa"/>
            <w:tcBorders>
              <w:top w:val="single" w:sz="4" w:space="0" w:color="auto"/>
            </w:tcBorders>
          </w:tcPr>
          <w:p w14:paraId="6305CB89" w14:textId="77777777" w:rsidR="00EB3F3B" w:rsidRPr="00540D8E" w:rsidRDefault="00EB3F3B" w:rsidP="00FA6B66">
            <w:pPr>
              <w:jc w:val="center"/>
              <w:rPr>
                <w:bCs/>
                <w:sz w:val="20"/>
                <w:szCs w:val="20"/>
              </w:rPr>
            </w:pPr>
          </w:p>
        </w:tc>
        <w:tc>
          <w:tcPr>
            <w:tcW w:w="1170" w:type="dxa"/>
            <w:tcBorders>
              <w:top w:val="single" w:sz="4" w:space="0" w:color="auto"/>
            </w:tcBorders>
          </w:tcPr>
          <w:p w14:paraId="705E3583" w14:textId="77777777" w:rsidR="00EB3F3B" w:rsidRDefault="00EB3F3B" w:rsidP="00FA6B66">
            <w:pPr>
              <w:jc w:val="center"/>
              <w:rPr>
                <w:bCs/>
                <w:sz w:val="20"/>
                <w:szCs w:val="20"/>
              </w:rPr>
            </w:pPr>
          </w:p>
        </w:tc>
        <w:tc>
          <w:tcPr>
            <w:tcW w:w="900" w:type="dxa"/>
            <w:tcBorders>
              <w:top w:val="single" w:sz="4" w:space="0" w:color="auto"/>
            </w:tcBorders>
          </w:tcPr>
          <w:p w14:paraId="6937CE42" w14:textId="77777777" w:rsidR="00EB3F3B" w:rsidRDefault="00EB3F3B" w:rsidP="00FA6B66">
            <w:pPr>
              <w:jc w:val="center"/>
              <w:rPr>
                <w:bCs/>
                <w:sz w:val="20"/>
                <w:szCs w:val="20"/>
              </w:rPr>
            </w:pPr>
          </w:p>
        </w:tc>
        <w:tc>
          <w:tcPr>
            <w:tcW w:w="1080" w:type="dxa"/>
            <w:tcBorders>
              <w:top w:val="single" w:sz="4" w:space="0" w:color="auto"/>
            </w:tcBorders>
          </w:tcPr>
          <w:p w14:paraId="1CF0BAEE" w14:textId="77777777" w:rsidR="00EB3F3B" w:rsidRDefault="00EB3F3B" w:rsidP="00FA6B66">
            <w:pPr>
              <w:jc w:val="center"/>
              <w:rPr>
                <w:bCs/>
                <w:sz w:val="20"/>
                <w:szCs w:val="20"/>
              </w:rPr>
            </w:pPr>
          </w:p>
        </w:tc>
        <w:tc>
          <w:tcPr>
            <w:tcW w:w="905" w:type="dxa"/>
            <w:tcBorders>
              <w:top w:val="single" w:sz="4" w:space="0" w:color="auto"/>
            </w:tcBorders>
          </w:tcPr>
          <w:p w14:paraId="5A400717" w14:textId="77777777" w:rsidR="00EB3F3B" w:rsidRDefault="00EB3F3B" w:rsidP="00FA6B66">
            <w:pPr>
              <w:jc w:val="center"/>
              <w:rPr>
                <w:bCs/>
                <w:sz w:val="20"/>
                <w:szCs w:val="20"/>
              </w:rPr>
            </w:pPr>
          </w:p>
        </w:tc>
        <w:tc>
          <w:tcPr>
            <w:tcW w:w="1440" w:type="dxa"/>
            <w:tcBorders>
              <w:top w:val="single" w:sz="4" w:space="0" w:color="auto"/>
            </w:tcBorders>
          </w:tcPr>
          <w:p w14:paraId="655CD3E5" w14:textId="77777777" w:rsidR="00EB3F3B" w:rsidRDefault="00EB3F3B" w:rsidP="00FA6B66">
            <w:pPr>
              <w:jc w:val="center"/>
              <w:rPr>
                <w:bCs/>
                <w:sz w:val="20"/>
                <w:szCs w:val="20"/>
              </w:rPr>
            </w:pPr>
          </w:p>
        </w:tc>
        <w:tc>
          <w:tcPr>
            <w:tcW w:w="990" w:type="dxa"/>
            <w:tcBorders>
              <w:top w:val="single" w:sz="4" w:space="0" w:color="auto"/>
            </w:tcBorders>
          </w:tcPr>
          <w:p w14:paraId="3539F087" w14:textId="77777777" w:rsidR="00EB3F3B" w:rsidRDefault="00EB3F3B" w:rsidP="00FA6B66">
            <w:pPr>
              <w:jc w:val="center"/>
              <w:rPr>
                <w:bCs/>
                <w:sz w:val="20"/>
                <w:szCs w:val="20"/>
              </w:rPr>
            </w:pPr>
          </w:p>
        </w:tc>
      </w:tr>
      <w:tr w:rsidR="002929DD" w14:paraId="036457CD" w14:textId="77777777" w:rsidTr="00EB3F3B">
        <w:trPr>
          <w:jc w:val="center"/>
        </w:trPr>
        <w:tc>
          <w:tcPr>
            <w:tcW w:w="1525" w:type="dxa"/>
          </w:tcPr>
          <w:p w14:paraId="4646ED7C" w14:textId="362FE00B" w:rsidR="00FA6B66" w:rsidRPr="00540D8E" w:rsidRDefault="00FA6B66" w:rsidP="00540D8E">
            <w:pPr>
              <w:rPr>
                <w:b/>
                <w:sz w:val="20"/>
                <w:szCs w:val="20"/>
              </w:rPr>
            </w:pPr>
            <w:r w:rsidRPr="005C6F4C">
              <w:rPr>
                <w:sz w:val="20"/>
                <w:szCs w:val="20"/>
              </w:rPr>
              <w:t>Intercept</w:t>
            </w:r>
          </w:p>
        </w:tc>
        <w:tc>
          <w:tcPr>
            <w:tcW w:w="270" w:type="dxa"/>
          </w:tcPr>
          <w:p w14:paraId="2A1175AE" w14:textId="77777777" w:rsidR="00FA6B66" w:rsidRPr="00540D8E" w:rsidRDefault="00FA6B66" w:rsidP="00FA6B66">
            <w:pPr>
              <w:jc w:val="center"/>
              <w:rPr>
                <w:b/>
                <w:sz w:val="20"/>
                <w:szCs w:val="20"/>
              </w:rPr>
            </w:pPr>
          </w:p>
        </w:tc>
        <w:tc>
          <w:tcPr>
            <w:tcW w:w="1260" w:type="dxa"/>
          </w:tcPr>
          <w:p w14:paraId="5810E200" w14:textId="6A3DAA26" w:rsidR="00FA6B66" w:rsidRPr="00540D8E" w:rsidRDefault="00C8614C" w:rsidP="00FA6B66">
            <w:pPr>
              <w:jc w:val="center"/>
              <w:rPr>
                <w:bCs/>
                <w:sz w:val="20"/>
                <w:szCs w:val="20"/>
              </w:rPr>
            </w:pPr>
            <w:r w:rsidRPr="00540D8E">
              <w:rPr>
                <w:bCs/>
                <w:sz w:val="20"/>
                <w:szCs w:val="20"/>
              </w:rPr>
              <w:t>5.</w:t>
            </w:r>
            <w:r w:rsidR="00726472" w:rsidRPr="00540D8E">
              <w:rPr>
                <w:bCs/>
                <w:sz w:val="20"/>
                <w:szCs w:val="20"/>
              </w:rPr>
              <w:t>3</w:t>
            </w:r>
            <w:r w:rsidR="00274DD4" w:rsidRPr="00540D8E">
              <w:rPr>
                <w:bCs/>
                <w:sz w:val="20"/>
                <w:szCs w:val="20"/>
              </w:rPr>
              <w:t>761</w:t>
            </w:r>
            <w:r w:rsidRPr="00540D8E">
              <w:rPr>
                <w:bCs/>
                <w:sz w:val="20"/>
                <w:szCs w:val="20"/>
              </w:rPr>
              <w:t>***</w:t>
            </w:r>
          </w:p>
          <w:p w14:paraId="7ADC608F" w14:textId="7F627933" w:rsidR="00C8614C" w:rsidRPr="00540D8E" w:rsidRDefault="00C8614C" w:rsidP="00FA6B66">
            <w:pPr>
              <w:jc w:val="center"/>
              <w:rPr>
                <w:bCs/>
                <w:sz w:val="20"/>
                <w:szCs w:val="20"/>
              </w:rPr>
            </w:pPr>
            <w:r w:rsidRPr="00540D8E">
              <w:rPr>
                <w:bCs/>
                <w:sz w:val="20"/>
                <w:szCs w:val="20"/>
              </w:rPr>
              <w:t>(0.27</w:t>
            </w:r>
            <w:r w:rsidR="00274DD4" w:rsidRPr="00540D8E">
              <w:rPr>
                <w:bCs/>
                <w:sz w:val="20"/>
                <w:szCs w:val="20"/>
              </w:rPr>
              <w:t>04</w:t>
            </w:r>
            <w:r w:rsidRPr="00540D8E">
              <w:rPr>
                <w:bCs/>
                <w:sz w:val="20"/>
                <w:szCs w:val="20"/>
              </w:rPr>
              <w:t>)</w:t>
            </w:r>
          </w:p>
        </w:tc>
        <w:tc>
          <w:tcPr>
            <w:tcW w:w="900" w:type="dxa"/>
          </w:tcPr>
          <w:p w14:paraId="6163D395" w14:textId="47A3AC51" w:rsidR="00FA6B66" w:rsidRPr="00540D8E" w:rsidRDefault="00C8614C" w:rsidP="00FA6B66">
            <w:pPr>
              <w:jc w:val="center"/>
              <w:rPr>
                <w:bCs/>
                <w:sz w:val="20"/>
                <w:szCs w:val="20"/>
              </w:rPr>
            </w:pPr>
            <w:r w:rsidRPr="00540D8E">
              <w:rPr>
                <w:bCs/>
                <w:sz w:val="20"/>
                <w:szCs w:val="20"/>
              </w:rPr>
              <w:t>3</w:t>
            </w:r>
            <w:r w:rsidR="00726472" w:rsidRPr="00540D8E">
              <w:rPr>
                <w:bCs/>
                <w:sz w:val="20"/>
                <w:szCs w:val="20"/>
              </w:rPr>
              <w:t>9</w:t>
            </w:r>
            <w:r w:rsidR="00274DD4" w:rsidRPr="00540D8E">
              <w:rPr>
                <w:bCs/>
                <w:sz w:val="20"/>
                <w:szCs w:val="20"/>
              </w:rPr>
              <w:t>5</w:t>
            </w:r>
            <w:r w:rsidR="00726472" w:rsidRPr="00540D8E">
              <w:rPr>
                <w:bCs/>
                <w:sz w:val="20"/>
                <w:szCs w:val="20"/>
              </w:rPr>
              <w:t>.</w:t>
            </w:r>
            <w:r w:rsidR="00274DD4" w:rsidRPr="00540D8E">
              <w:rPr>
                <w:bCs/>
                <w:sz w:val="20"/>
                <w:szCs w:val="20"/>
              </w:rPr>
              <w:t>18</w:t>
            </w:r>
          </w:p>
        </w:tc>
        <w:tc>
          <w:tcPr>
            <w:tcW w:w="1260" w:type="dxa"/>
          </w:tcPr>
          <w:p w14:paraId="737151AC" w14:textId="45B505F4" w:rsidR="00FA6B66" w:rsidRPr="00540D8E" w:rsidRDefault="002516F5" w:rsidP="00FA6B66">
            <w:pPr>
              <w:jc w:val="center"/>
              <w:rPr>
                <w:bCs/>
                <w:sz w:val="20"/>
                <w:szCs w:val="20"/>
              </w:rPr>
            </w:pPr>
            <w:r w:rsidRPr="00540D8E">
              <w:rPr>
                <w:bCs/>
                <w:sz w:val="20"/>
                <w:szCs w:val="20"/>
              </w:rPr>
              <w:t>6.6965*** (0.7023)</w:t>
            </w:r>
          </w:p>
        </w:tc>
        <w:tc>
          <w:tcPr>
            <w:tcW w:w="900" w:type="dxa"/>
          </w:tcPr>
          <w:p w14:paraId="6BA87804" w14:textId="05B401C4" w:rsidR="00FA6B66" w:rsidRPr="00540D8E" w:rsidRDefault="002516F5" w:rsidP="00FA6B66">
            <w:pPr>
              <w:jc w:val="center"/>
              <w:rPr>
                <w:bCs/>
                <w:sz w:val="20"/>
                <w:szCs w:val="20"/>
              </w:rPr>
            </w:pPr>
            <w:r w:rsidRPr="00540D8E">
              <w:rPr>
                <w:bCs/>
                <w:sz w:val="20"/>
                <w:szCs w:val="20"/>
              </w:rPr>
              <w:t>90.93</w:t>
            </w:r>
          </w:p>
        </w:tc>
        <w:tc>
          <w:tcPr>
            <w:tcW w:w="1170" w:type="dxa"/>
          </w:tcPr>
          <w:p w14:paraId="3FE92F56" w14:textId="77777777" w:rsidR="00FA6B66" w:rsidRDefault="00E13506" w:rsidP="00FA6B66">
            <w:pPr>
              <w:jc w:val="center"/>
              <w:rPr>
                <w:bCs/>
                <w:sz w:val="20"/>
                <w:szCs w:val="20"/>
              </w:rPr>
            </w:pPr>
            <w:r w:rsidRPr="00540D8E">
              <w:rPr>
                <w:bCs/>
                <w:sz w:val="20"/>
                <w:szCs w:val="20"/>
              </w:rPr>
              <w:t>5.0861***</w:t>
            </w:r>
          </w:p>
          <w:p w14:paraId="5D5719E9" w14:textId="49D81B31" w:rsidR="002929DD" w:rsidRPr="00540D8E" w:rsidRDefault="002929DD" w:rsidP="00FA6B66">
            <w:pPr>
              <w:jc w:val="center"/>
              <w:rPr>
                <w:bCs/>
                <w:sz w:val="20"/>
                <w:szCs w:val="20"/>
              </w:rPr>
            </w:pPr>
            <w:r>
              <w:rPr>
                <w:bCs/>
                <w:sz w:val="20"/>
                <w:szCs w:val="20"/>
              </w:rPr>
              <w:t>(0.6130)</w:t>
            </w:r>
          </w:p>
        </w:tc>
        <w:tc>
          <w:tcPr>
            <w:tcW w:w="900" w:type="dxa"/>
          </w:tcPr>
          <w:p w14:paraId="44D9E4D6" w14:textId="7BED9022" w:rsidR="00FA6B66" w:rsidRPr="00540D8E" w:rsidRDefault="00E13506" w:rsidP="00FA6B66">
            <w:pPr>
              <w:jc w:val="center"/>
              <w:rPr>
                <w:bCs/>
                <w:sz w:val="20"/>
                <w:szCs w:val="20"/>
              </w:rPr>
            </w:pPr>
            <w:r w:rsidRPr="00540D8E">
              <w:rPr>
                <w:bCs/>
                <w:sz w:val="20"/>
                <w:szCs w:val="20"/>
              </w:rPr>
              <w:t>427.54</w:t>
            </w:r>
          </w:p>
        </w:tc>
        <w:tc>
          <w:tcPr>
            <w:tcW w:w="1170" w:type="dxa"/>
          </w:tcPr>
          <w:p w14:paraId="6EB2E1F3" w14:textId="77777777" w:rsidR="00FA6B66" w:rsidRDefault="0033257F" w:rsidP="00FA6B66">
            <w:pPr>
              <w:jc w:val="center"/>
              <w:rPr>
                <w:bCs/>
                <w:sz w:val="20"/>
                <w:szCs w:val="20"/>
              </w:rPr>
            </w:pPr>
            <w:r>
              <w:rPr>
                <w:bCs/>
                <w:sz w:val="20"/>
                <w:szCs w:val="20"/>
              </w:rPr>
              <w:t>5.5750***</w:t>
            </w:r>
          </w:p>
          <w:p w14:paraId="7189E52B" w14:textId="0EC0BCBD" w:rsidR="0033257F" w:rsidRPr="00540D8E" w:rsidRDefault="0033257F" w:rsidP="00FA6B66">
            <w:pPr>
              <w:jc w:val="center"/>
              <w:rPr>
                <w:bCs/>
                <w:sz w:val="20"/>
                <w:szCs w:val="20"/>
              </w:rPr>
            </w:pPr>
            <w:r>
              <w:rPr>
                <w:bCs/>
                <w:sz w:val="20"/>
                <w:szCs w:val="20"/>
              </w:rPr>
              <w:t>(0.2690)</w:t>
            </w:r>
          </w:p>
        </w:tc>
        <w:tc>
          <w:tcPr>
            <w:tcW w:w="900" w:type="dxa"/>
          </w:tcPr>
          <w:p w14:paraId="5229A78B" w14:textId="4278D99D" w:rsidR="00FA6B66" w:rsidRPr="00540D8E" w:rsidRDefault="0033257F" w:rsidP="00FA6B66">
            <w:pPr>
              <w:jc w:val="center"/>
              <w:rPr>
                <w:bCs/>
                <w:sz w:val="20"/>
                <w:szCs w:val="20"/>
              </w:rPr>
            </w:pPr>
            <w:r>
              <w:rPr>
                <w:bCs/>
                <w:sz w:val="20"/>
                <w:szCs w:val="20"/>
              </w:rPr>
              <w:t>429.39</w:t>
            </w:r>
          </w:p>
        </w:tc>
        <w:tc>
          <w:tcPr>
            <w:tcW w:w="1080" w:type="dxa"/>
          </w:tcPr>
          <w:p w14:paraId="40EA9B6C" w14:textId="77777777" w:rsidR="00FA6B66" w:rsidRDefault="000347DB" w:rsidP="00FA6B66">
            <w:pPr>
              <w:jc w:val="center"/>
              <w:rPr>
                <w:bCs/>
                <w:sz w:val="20"/>
                <w:szCs w:val="20"/>
              </w:rPr>
            </w:pPr>
            <w:r>
              <w:rPr>
                <w:bCs/>
                <w:sz w:val="20"/>
                <w:szCs w:val="20"/>
              </w:rPr>
              <w:t>6.8781***</w:t>
            </w:r>
          </w:p>
          <w:p w14:paraId="230D6254" w14:textId="3E309E1A" w:rsidR="000347DB" w:rsidRPr="00540D8E" w:rsidRDefault="000347DB" w:rsidP="00FA6B66">
            <w:pPr>
              <w:jc w:val="center"/>
              <w:rPr>
                <w:bCs/>
                <w:sz w:val="20"/>
                <w:szCs w:val="20"/>
              </w:rPr>
            </w:pPr>
            <w:r>
              <w:rPr>
                <w:bCs/>
                <w:sz w:val="20"/>
                <w:szCs w:val="20"/>
              </w:rPr>
              <w:t>(0.8957)</w:t>
            </w:r>
          </w:p>
        </w:tc>
        <w:tc>
          <w:tcPr>
            <w:tcW w:w="905" w:type="dxa"/>
          </w:tcPr>
          <w:p w14:paraId="15F6DF6F" w14:textId="1D1F8C9C" w:rsidR="00FA6B66" w:rsidRPr="00540D8E" w:rsidRDefault="000347DB" w:rsidP="00FA6B66">
            <w:pPr>
              <w:jc w:val="center"/>
              <w:rPr>
                <w:bCs/>
                <w:sz w:val="20"/>
                <w:szCs w:val="20"/>
              </w:rPr>
            </w:pPr>
            <w:r>
              <w:rPr>
                <w:bCs/>
                <w:sz w:val="20"/>
                <w:szCs w:val="20"/>
              </w:rPr>
              <w:t>58.96</w:t>
            </w:r>
          </w:p>
        </w:tc>
        <w:tc>
          <w:tcPr>
            <w:tcW w:w="1440" w:type="dxa"/>
          </w:tcPr>
          <w:p w14:paraId="3C65BB63" w14:textId="18C1F35E" w:rsidR="00FA6B66" w:rsidRPr="00540D8E" w:rsidRDefault="00C70C44" w:rsidP="00FA6B66">
            <w:pPr>
              <w:jc w:val="center"/>
              <w:rPr>
                <w:bCs/>
                <w:sz w:val="20"/>
                <w:szCs w:val="20"/>
              </w:rPr>
            </w:pPr>
            <w:r>
              <w:rPr>
                <w:bCs/>
                <w:sz w:val="20"/>
                <w:szCs w:val="20"/>
              </w:rPr>
              <w:t>6.2153*** (0.9396)</w:t>
            </w:r>
          </w:p>
        </w:tc>
        <w:tc>
          <w:tcPr>
            <w:tcW w:w="990" w:type="dxa"/>
          </w:tcPr>
          <w:p w14:paraId="5D7FBA56" w14:textId="66035596" w:rsidR="00FA6B66" w:rsidRPr="00540D8E" w:rsidRDefault="00C70C44" w:rsidP="00FA6B66">
            <w:pPr>
              <w:jc w:val="center"/>
              <w:rPr>
                <w:bCs/>
                <w:sz w:val="20"/>
                <w:szCs w:val="20"/>
              </w:rPr>
            </w:pPr>
            <w:r>
              <w:rPr>
                <w:bCs/>
                <w:sz w:val="20"/>
                <w:szCs w:val="20"/>
              </w:rPr>
              <w:t>43.75</w:t>
            </w:r>
          </w:p>
        </w:tc>
      </w:tr>
      <w:tr w:rsidR="002929DD" w14:paraId="3A04C35E" w14:textId="77777777" w:rsidTr="00EB3F3B">
        <w:trPr>
          <w:jc w:val="center"/>
        </w:trPr>
        <w:tc>
          <w:tcPr>
            <w:tcW w:w="1525" w:type="dxa"/>
          </w:tcPr>
          <w:p w14:paraId="1E50CC31" w14:textId="229F2503" w:rsidR="00FA6B66" w:rsidRPr="00540D8E" w:rsidRDefault="00FA6B66" w:rsidP="00540D8E">
            <w:pPr>
              <w:rPr>
                <w:b/>
                <w:sz w:val="20"/>
                <w:szCs w:val="20"/>
              </w:rPr>
            </w:pPr>
            <w:r w:rsidRPr="005C6F4C">
              <w:rPr>
                <w:sz w:val="20"/>
                <w:szCs w:val="20"/>
              </w:rPr>
              <w:t>Regulatory Environment (Hypothesis 1)</w:t>
            </w:r>
          </w:p>
        </w:tc>
        <w:tc>
          <w:tcPr>
            <w:tcW w:w="270" w:type="dxa"/>
          </w:tcPr>
          <w:p w14:paraId="1CB62E66" w14:textId="77777777" w:rsidR="00FA6B66" w:rsidRPr="00540D8E" w:rsidRDefault="00FA6B66" w:rsidP="00FA6B66">
            <w:pPr>
              <w:jc w:val="center"/>
              <w:rPr>
                <w:b/>
                <w:sz w:val="20"/>
                <w:szCs w:val="20"/>
              </w:rPr>
            </w:pPr>
          </w:p>
        </w:tc>
        <w:tc>
          <w:tcPr>
            <w:tcW w:w="1260" w:type="dxa"/>
          </w:tcPr>
          <w:p w14:paraId="6B757BD6" w14:textId="6591E901" w:rsidR="00FA6B66" w:rsidRPr="00540D8E" w:rsidRDefault="00C8614C" w:rsidP="00FA6B66">
            <w:pPr>
              <w:jc w:val="center"/>
              <w:rPr>
                <w:b/>
                <w:sz w:val="20"/>
                <w:szCs w:val="20"/>
              </w:rPr>
            </w:pPr>
            <w:r w:rsidRPr="00540D8E">
              <w:rPr>
                <w:b/>
                <w:sz w:val="20"/>
                <w:szCs w:val="20"/>
              </w:rPr>
              <w:t>-0.</w:t>
            </w:r>
            <w:r w:rsidR="00274DD4" w:rsidRPr="00540D8E">
              <w:rPr>
                <w:b/>
                <w:sz w:val="20"/>
                <w:szCs w:val="20"/>
              </w:rPr>
              <w:t>2224</w:t>
            </w:r>
            <w:r w:rsidRPr="00540D8E">
              <w:rPr>
                <w:b/>
                <w:sz w:val="20"/>
                <w:szCs w:val="20"/>
              </w:rPr>
              <w:t>*</w:t>
            </w:r>
          </w:p>
          <w:p w14:paraId="141EB42F" w14:textId="6F4168B8" w:rsidR="00C8614C" w:rsidRPr="00540D8E" w:rsidRDefault="00C8614C" w:rsidP="00FA6B66">
            <w:pPr>
              <w:jc w:val="center"/>
              <w:rPr>
                <w:bCs/>
                <w:sz w:val="20"/>
                <w:szCs w:val="20"/>
              </w:rPr>
            </w:pPr>
            <w:r w:rsidRPr="00540D8E">
              <w:rPr>
                <w:b/>
                <w:sz w:val="20"/>
                <w:szCs w:val="20"/>
              </w:rPr>
              <w:t>(0.</w:t>
            </w:r>
            <w:r w:rsidR="00274DD4" w:rsidRPr="00540D8E">
              <w:rPr>
                <w:b/>
                <w:sz w:val="20"/>
                <w:szCs w:val="20"/>
              </w:rPr>
              <w:t>1922</w:t>
            </w:r>
            <w:r w:rsidRPr="00540D8E">
              <w:rPr>
                <w:b/>
                <w:sz w:val="20"/>
                <w:szCs w:val="20"/>
              </w:rPr>
              <w:t>)</w:t>
            </w:r>
          </w:p>
        </w:tc>
        <w:tc>
          <w:tcPr>
            <w:tcW w:w="900" w:type="dxa"/>
          </w:tcPr>
          <w:p w14:paraId="4747BA55" w14:textId="398DDD93" w:rsidR="00FA6B66" w:rsidRPr="00540D8E" w:rsidRDefault="00274DD4" w:rsidP="00726472">
            <w:pPr>
              <w:jc w:val="center"/>
              <w:rPr>
                <w:bCs/>
                <w:sz w:val="20"/>
                <w:szCs w:val="20"/>
              </w:rPr>
            </w:pPr>
            <w:r w:rsidRPr="00540D8E">
              <w:rPr>
                <w:bCs/>
                <w:sz w:val="20"/>
                <w:szCs w:val="20"/>
              </w:rPr>
              <w:t>1.34</w:t>
            </w:r>
          </w:p>
        </w:tc>
        <w:tc>
          <w:tcPr>
            <w:tcW w:w="1260" w:type="dxa"/>
          </w:tcPr>
          <w:p w14:paraId="78F31A3B" w14:textId="12D421AA" w:rsidR="00FA6B66" w:rsidRPr="00540D8E" w:rsidRDefault="002516F5" w:rsidP="00FA6B66">
            <w:pPr>
              <w:jc w:val="center"/>
              <w:rPr>
                <w:b/>
                <w:sz w:val="20"/>
                <w:szCs w:val="20"/>
              </w:rPr>
            </w:pPr>
            <w:r w:rsidRPr="00540D8E">
              <w:rPr>
                <w:b/>
                <w:sz w:val="20"/>
                <w:szCs w:val="20"/>
              </w:rPr>
              <w:t>-0.7365* (0.3152)</w:t>
            </w:r>
          </w:p>
        </w:tc>
        <w:tc>
          <w:tcPr>
            <w:tcW w:w="900" w:type="dxa"/>
          </w:tcPr>
          <w:p w14:paraId="629F77E1" w14:textId="1502C347" w:rsidR="00FA6B66" w:rsidRPr="00540D8E" w:rsidRDefault="002516F5" w:rsidP="00FA6B66">
            <w:pPr>
              <w:jc w:val="center"/>
              <w:rPr>
                <w:bCs/>
                <w:sz w:val="20"/>
                <w:szCs w:val="20"/>
              </w:rPr>
            </w:pPr>
            <w:r w:rsidRPr="00540D8E">
              <w:rPr>
                <w:bCs/>
                <w:sz w:val="20"/>
                <w:szCs w:val="20"/>
              </w:rPr>
              <w:t>5.46</w:t>
            </w:r>
          </w:p>
        </w:tc>
        <w:tc>
          <w:tcPr>
            <w:tcW w:w="1170" w:type="dxa"/>
          </w:tcPr>
          <w:p w14:paraId="21423B40" w14:textId="7779AE56" w:rsidR="00FA6B66" w:rsidRPr="00540D8E" w:rsidRDefault="00E13506" w:rsidP="00FA6B66">
            <w:pPr>
              <w:jc w:val="center"/>
              <w:rPr>
                <w:bCs/>
                <w:sz w:val="20"/>
                <w:szCs w:val="20"/>
              </w:rPr>
            </w:pPr>
            <w:r w:rsidRPr="00540D8E">
              <w:rPr>
                <w:bCs/>
                <w:sz w:val="20"/>
                <w:szCs w:val="20"/>
              </w:rPr>
              <w:t>0.3978 (0.2512)</w:t>
            </w:r>
          </w:p>
        </w:tc>
        <w:tc>
          <w:tcPr>
            <w:tcW w:w="900" w:type="dxa"/>
          </w:tcPr>
          <w:p w14:paraId="2BEFBDA0" w14:textId="781E8E92" w:rsidR="00FA6B66" w:rsidRPr="00540D8E" w:rsidRDefault="00E13506" w:rsidP="00FA6B66">
            <w:pPr>
              <w:jc w:val="center"/>
              <w:rPr>
                <w:bCs/>
                <w:sz w:val="20"/>
                <w:szCs w:val="20"/>
              </w:rPr>
            </w:pPr>
            <w:r w:rsidRPr="00540D8E">
              <w:rPr>
                <w:bCs/>
                <w:sz w:val="20"/>
                <w:szCs w:val="20"/>
              </w:rPr>
              <w:t>2.51</w:t>
            </w:r>
          </w:p>
        </w:tc>
        <w:tc>
          <w:tcPr>
            <w:tcW w:w="1170" w:type="dxa"/>
          </w:tcPr>
          <w:p w14:paraId="04E7DCCC" w14:textId="09458A7E" w:rsidR="00FA6B66" w:rsidRPr="00540D8E" w:rsidRDefault="007455F1" w:rsidP="00FA6B66">
            <w:pPr>
              <w:jc w:val="center"/>
              <w:rPr>
                <w:bCs/>
                <w:sz w:val="20"/>
                <w:szCs w:val="20"/>
              </w:rPr>
            </w:pPr>
            <w:r>
              <w:rPr>
                <w:bCs/>
                <w:sz w:val="20"/>
                <w:szCs w:val="20"/>
              </w:rPr>
              <w:t>0.2913 (0.3705)</w:t>
            </w:r>
          </w:p>
        </w:tc>
        <w:tc>
          <w:tcPr>
            <w:tcW w:w="900" w:type="dxa"/>
          </w:tcPr>
          <w:p w14:paraId="4E0E29B8" w14:textId="50C42278" w:rsidR="00FA6B66" w:rsidRPr="00540D8E" w:rsidRDefault="007455F1" w:rsidP="00FA6B66">
            <w:pPr>
              <w:jc w:val="center"/>
              <w:rPr>
                <w:bCs/>
                <w:sz w:val="20"/>
                <w:szCs w:val="20"/>
              </w:rPr>
            </w:pPr>
            <w:r>
              <w:rPr>
                <w:bCs/>
                <w:sz w:val="20"/>
                <w:szCs w:val="20"/>
              </w:rPr>
              <w:t>0.62</w:t>
            </w:r>
          </w:p>
        </w:tc>
        <w:tc>
          <w:tcPr>
            <w:tcW w:w="1080" w:type="dxa"/>
          </w:tcPr>
          <w:p w14:paraId="02B44297" w14:textId="77777777" w:rsidR="00FA6B66" w:rsidRPr="00EB3F3B" w:rsidRDefault="000347DB" w:rsidP="00FA6B66">
            <w:pPr>
              <w:jc w:val="center"/>
              <w:rPr>
                <w:b/>
                <w:sz w:val="20"/>
                <w:szCs w:val="20"/>
              </w:rPr>
            </w:pPr>
            <w:r w:rsidRPr="00EB3F3B">
              <w:rPr>
                <w:b/>
                <w:sz w:val="20"/>
                <w:szCs w:val="20"/>
              </w:rPr>
              <w:t>-0.6696*</w:t>
            </w:r>
          </w:p>
          <w:p w14:paraId="106346BF" w14:textId="07928E8D" w:rsidR="000347DB" w:rsidRPr="00540D8E" w:rsidRDefault="000347DB" w:rsidP="00FA6B66">
            <w:pPr>
              <w:jc w:val="center"/>
              <w:rPr>
                <w:bCs/>
                <w:sz w:val="20"/>
                <w:szCs w:val="20"/>
              </w:rPr>
            </w:pPr>
            <w:r w:rsidRPr="00EB3F3B">
              <w:rPr>
                <w:b/>
                <w:sz w:val="20"/>
                <w:szCs w:val="20"/>
              </w:rPr>
              <w:t>(0.2720)</w:t>
            </w:r>
          </w:p>
        </w:tc>
        <w:tc>
          <w:tcPr>
            <w:tcW w:w="905" w:type="dxa"/>
          </w:tcPr>
          <w:p w14:paraId="34A122D9" w14:textId="490828D2" w:rsidR="00FA6B66" w:rsidRPr="00540D8E" w:rsidRDefault="000347DB" w:rsidP="00FA6B66">
            <w:pPr>
              <w:jc w:val="center"/>
              <w:rPr>
                <w:bCs/>
                <w:sz w:val="20"/>
                <w:szCs w:val="20"/>
              </w:rPr>
            </w:pPr>
            <w:r>
              <w:rPr>
                <w:bCs/>
                <w:sz w:val="20"/>
                <w:szCs w:val="20"/>
              </w:rPr>
              <w:t>6.06</w:t>
            </w:r>
          </w:p>
        </w:tc>
        <w:tc>
          <w:tcPr>
            <w:tcW w:w="1440" w:type="dxa"/>
          </w:tcPr>
          <w:p w14:paraId="502E5622" w14:textId="77777777" w:rsidR="00FA6B66" w:rsidRDefault="00C70C44" w:rsidP="00FA6B66">
            <w:pPr>
              <w:jc w:val="center"/>
              <w:rPr>
                <w:bCs/>
                <w:sz w:val="20"/>
                <w:szCs w:val="20"/>
              </w:rPr>
            </w:pPr>
            <w:r>
              <w:rPr>
                <w:bCs/>
                <w:sz w:val="20"/>
                <w:szCs w:val="20"/>
              </w:rPr>
              <w:t>-0.6236†</w:t>
            </w:r>
          </w:p>
          <w:p w14:paraId="18EA1BA1" w14:textId="7FAAB6DF" w:rsidR="00C70C44" w:rsidRPr="00540D8E" w:rsidRDefault="00C70C44" w:rsidP="00FA6B66">
            <w:pPr>
              <w:jc w:val="center"/>
              <w:rPr>
                <w:bCs/>
                <w:sz w:val="20"/>
                <w:szCs w:val="20"/>
              </w:rPr>
            </w:pPr>
            <w:r>
              <w:rPr>
                <w:bCs/>
                <w:sz w:val="20"/>
                <w:szCs w:val="20"/>
              </w:rPr>
              <w:t>(0.3624)</w:t>
            </w:r>
          </w:p>
        </w:tc>
        <w:tc>
          <w:tcPr>
            <w:tcW w:w="990" w:type="dxa"/>
          </w:tcPr>
          <w:p w14:paraId="4182C542" w14:textId="4FC3E8C8" w:rsidR="00FA6B66" w:rsidRPr="00540D8E" w:rsidRDefault="00C70C44" w:rsidP="00FA6B66">
            <w:pPr>
              <w:jc w:val="center"/>
              <w:rPr>
                <w:bCs/>
                <w:sz w:val="20"/>
                <w:szCs w:val="20"/>
              </w:rPr>
            </w:pPr>
            <w:r>
              <w:rPr>
                <w:bCs/>
                <w:sz w:val="20"/>
                <w:szCs w:val="20"/>
              </w:rPr>
              <w:t>2.96</w:t>
            </w:r>
          </w:p>
        </w:tc>
      </w:tr>
      <w:tr w:rsidR="002929DD" w14:paraId="3A8E2FD6" w14:textId="77777777" w:rsidTr="00EB3F3B">
        <w:trPr>
          <w:jc w:val="center"/>
        </w:trPr>
        <w:tc>
          <w:tcPr>
            <w:tcW w:w="1525" w:type="dxa"/>
          </w:tcPr>
          <w:p w14:paraId="24EC93D9" w14:textId="02F0C974" w:rsidR="00FA6B66" w:rsidRPr="00540D8E" w:rsidRDefault="00FA6B66" w:rsidP="00540D8E">
            <w:pPr>
              <w:rPr>
                <w:b/>
                <w:sz w:val="20"/>
                <w:szCs w:val="20"/>
              </w:rPr>
            </w:pPr>
            <w:r w:rsidRPr="005C6F4C">
              <w:rPr>
                <w:sz w:val="20"/>
                <w:szCs w:val="20"/>
              </w:rPr>
              <w:t>Standardized</w:t>
            </w:r>
            <w:r w:rsidR="007C7E83" w:rsidRPr="00F276E7">
              <w:rPr>
                <w:sz w:val="20"/>
                <w:szCs w:val="20"/>
                <w:vertAlign w:val="superscript"/>
              </w:rPr>
              <w:t>&amp;</w:t>
            </w:r>
            <w:r w:rsidRPr="005C6F4C">
              <w:rPr>
                <w:sz w:val="20"/>
                <w:szCs w:val="20"/>
              </w:rPr>
              <w:t xml:space="preserve"> (Hypothesis 2)</w:t>
            </w:r>
          </w:p>
        </w:tc>
        <w:tc>
          <w:tcPr>
            <w:tcW w:w="270" w:type="dxa"/>
          </w:tcPr>
          <w:p w14:paraId="22F0AF6B" w14:textId="77777777" w:rsidR="00FA6B66" w:rsidRPr="00540D8E" w:rsidRDefault="00FA6B66" w:rsidP="00FA6B66">
            <w:pPr>
              <w:jc w:val="center"/>
              <w:rPr>
                <w:b/>
                <w:sz w:val="20"/>
                <w:szCs w:val="20"/>
              </w:rPr>
            </w:pPr>
          </w:p>
        </w:tc>
        <w:tc>
          <w:tcPr>
            <w:tcW w:w="1260" w:type="dxa"/>
          </w:tcPr>
          <w:p w14:paraId="18D5C202" w14:textId="3CACE5FD" w:rsidR="00FA6B66" w:rsidRPr="00540D8E" w:rsidRDefault="00274DD4" w:rsidP="00FA6B66">
            <w:pPr>
              <w:jc w:val="center"/>
              <w:rPr>
                <w:b/>
                <w:sz w:val="20"/>
                <w:szCs w:val="20"/>
              </w:rPr>
            </w:pPr>
            <w:r w:rsidRPr="00540D8E">
              <w:rPr>
                <w:b/>
                <w:sz w:val="20"/>
                <w:szCs w:val="20"/>
              </w:rPr>
              <w:t>-</w:t>
            </w:r>
            <w:r w:rsidR="00C8614C" w:rsidRPr="00540D8E">
              <w:rPr>
                <w:b/>
                <w:sz w:val="20"/>
                <w:szCs w:val="20"/>
              </w:rPr>
              <w:t>0.</w:t>
            </w:r>
            <w:r w:rsidR="00726472" w:rsidRPr="00540D8E">
              <w:rPr>
                <w:b/>
                <w:sz w:val="20"/>
                <w:szCs w:val="20"/>
              </w:rPr>
              <w:t>4</w:t>
            </w:r>
            <w:r w:rsidRPr="00540D8E">
              <w:rPr>
                <w:b/>
                <w:sz w:val="20"/>
                <w:szCs w:val="20"/>
              </w:rPr>
              <w:t>727</w:t>
            </w:r>
            <w:r w:rsidR="00C8614C" w:rsidRPr="00540D8E">
              <w:rPr>
                <w:b/>
                <w:sz w:val="20"/>
                <w:szCs w:val="20"/>
              </w:rPr>
              <w:t>*</w:t>
            </w:r>
          </w:p>
          <w:p w14:paraId="06866F92" w14:textId="01DB3E63" w:rsidR="00C8614C" w:rsidRPr="00540D8E" w:rsidRDefault="00C8614C" w:rsidP="00FA6B66">
            <w:pPr>
              <w:jc w:val="center"/>
              <w:rPr>
                <w:bCs/>
                <w:sz w:val="20"/>
                <w:szCs w:val="20"/>
              </w:rPr>
            </w:pPr>
            <w:r w:rsidRPr="00540D8E">
              <w:rPr>
                <w:b/>
                <w:sz w:val="20"/>
                <w:szCs w:val="20"/>
              </w:rPr>
              <w:t>(0.</w:t>
            </w:r>
            <w:r w:rsidR="00726472" w:rsidRPr="00540D8E">
              <w:rPr>
                <w:b/>
                <w:sz w:val="20"/>
                <w:szCs w:val="20"/>
              </w:rPr>
              <w:t>2</w:t>
            </w:r>
            <w:r w:rsidR="00274DD4" w:rsidRPr="00540D8E">
              <w:rPr>
                <w:b/>
                <w:sz w:val="20"/>
                <w:szCs w:val="20"/>
              </w:rPr>
              <w:t>078</w:t>
            </w:r>
            <w:r w:rsidRPr="00540D8E">
              <w:rPr>
                <w:b/>
                <w:sz w:val="20"/>
                <w:szCs w:val="20"/>
              </w:rPr>
              <w:t>)</w:t>
            </w:r>
          </w:p>
        </w:tc>
        <w:tc>
          <w:tcPr>
            <w:tcW w:w="900" w:type="dxa"/>
          </w:tcPr>
          <w:p w14:paraId="74184CF5" w14:textId="4D6D73FA" w:rsidR="00FA6B66" w:rsidRPr="00540D8E" w:rsidRDefault="00274DD4" w:rsidP="00FA6B66">
            <w:pPr>
              <w:jc w:val="center"/>
              <w:rPr>
                <w:bCs/>
                <w:sz w:val="20"/>
                <w:szCs w:val="20"/>
              </w:rPr>
            </w:pPr>
            <w:r w:rsidRPr="00540D8E">
              <w:rPr>
                <w:bCs/>
                <w:sz w:val="20"/>
                <w:szCs w:val="20"/>
              </w:rPr>
              <w:t>5</w:t>
            </w:r>
            <w:r w:rsidR="00C8614C" w:rsidRPr="00540D8E">
              <w:rPr>
                <w:bCs/>
                <w:sz w:val="20"/>
                <w:szCs w:val="20"/>
              </w:rPr>
              <w:t>.</w:t>
            </w:r>
            <w:r w:rsidRPr="00540D8E">
              <w:rPr>
                <w:bCs/>
                <w:sz w:val="20"/>
                <w:szCs w:val="20"/>
              </w:rPr>
              <w:t>18</w:t>
            </w:r>
          </w:p>
        </w:tc>
        <w:tc>
          <w:tcPr>
            <w:tcW w:w="1260" w:type="dxa"/>
          </w:tcPr>
          <w:p w14:paraId="6E72E364" w14:textId="2930D62C" w:rsidR="00FA6B66" w:rsidRPr="00540D8E" w:rsidRDefault="00FA6B66" w:rsidP="00FA6B66">
            <w:pPr>
              <w:jc w:val="center"/>
              <w:rPr>
                <w:bCs/>
                <w:sz w:val="20"/>
                <w:szCs w:val="20"/>
              </w:rPr>
            </w:pPr>
          </w:p>
        </w:tc>
        <w:tc>
          <w:tcPr>
            <w:tcW w:w="900" w:type="dxa"/>
          </w:tcPr>
          <w:p w14:paraId="599A24CE" w14:textId="77777777" w:rsidR="00FA6B66" w:rsidRPr="00540D8E" w:rsidRDefault="00FA6B66" w:rsidP="00FA6B66">
            <w:pPr>
              <w:jc w:val="center"/>
              <w:rPr>
                <w:bCs/>
                <w:sz w:val="20"/>
                <w:szCs w:val="20"/>
              </w:rPr>
            </w:pPr>
          </w:p>
        </w:tc>
        <w:tc>
          <w:tcPr>
            <w:tcW w:w="1170" w:type="dxa"/>
          </w:tcPr>
          <w:p w14:paraId="488A6BBD" w14:textId="1AC6D9B1" w:rsidR="00FA6B66" w:rsidRPr="00540D8E" w:rsidRDefault="00FA6B66" w:rsidP="00FA6B66">
            <w:pPr>
              <w:jc w:val="center"/>
              <w:rPr>
                <w:bCs/>
                <w:sz w:val="20"/>
                <w:szCs w:val="20"/>
              </w:rPr>
            </w:pPr>
          </w:p>
        </w:tc>
        <w:tc>
          <w:tcPr>
            <w:tcW w:w="900" w:type="dxa"/>
          </w:tcPr>
          <w:p w14:paraId="6B8CD0BC" w14:textId="77777777" w:rsidR="00FA6B66" w:rsidRPr="00540D8E" w:rsidRDefault="00FA6B66" w:rsidP="00FA6B66">
            <w:pPr>
              <w:jc w:val="center"/>
              <w:rPr>
                <w:bCs/>
                <w:sz w:val="20"/>
                <w:szCs w:val="20"/>
              </w:rPr>
            </w:pPr>
          </w:p>
        </w:tc>
        <w:tc>
          <w:tcPr>
            <w:tcW w:w="1170" w:type="dxa"/>
          </w:tcPr>
          <w:p w14:paraId="0154079B" w14:textId="274A618B" w:rsidR="00FA6B66" w:rsidRPr="00540D8E" w:rsidRDefault="00FA6B66" w:rsidP="00FA6B66">
            <w:pPr>
              <w:jc w:val="center"/>
              <w:rPr>
                <w:bCs/>
                <w:sz w:val="20"/>
                <w:szCs w:val="20"/>
              </w:rPr>
            </w:pPr>
          </w:p>
        </w:tc>
        <w:tc>
          <w:tcPr>
            <w:tcW w:w="900" w:type="dxa"/>
          </w:tcPr>
          <w:p w14:paraId="0FB485E6" w14:textId="77777777" w:rsidR="00FA6B66" w:rsidRPr="00540D8E" w:rsidRDefault="00FA6B66" w:rsidP="00FA6B66">
            <w:pPr>
              <w:jc w:val="center"/>
              <w:rPr>
                <w:bCs/>
                <w:sz w:val="20"/>
                <w:szCs w:val="20"/>
              </w:rPr>
            </w:pPr>
          </w:p>
        </w:tc>
        <w:tc>
          <w:tcPr>
            <w:tcW w:w="1080" w:type="dxa"/>
          </w:tcPr>
          <w:p w14:paraId="1B819210" w14:textId="77777777" w:rsidR="00FA6B66" w:rsidRPr="00540D8E" w:rsidRDefault="00FA6B66" w:rsidP="00FA6B66">
            <w:pPr>
              <w:jc w:val="center"/>
              <w:rPr>
                <w:bCs/>
                <w:sz w:val="20"/>
                <w:szCs w:val="20"/>
              </w:rPr>
            </w:pPr>
          </w:p>
        </w:tc>
        <w:tc>
          <w:tcPr>
            <w:tcW w:w="905" w:type="dxa"/>
          </w:tcPr>
          <w:p w14:paraId="5D27F0AC" w14:textId="77777777" w:rsidR="00FA6B66" w:rsidRPr="00540D8E" w:rsidRDefault="00FA6B66" w:rsidP="00FA6B66">
            <w:pPr>
              <w:jc w:val="center"/>
              <w:rPr>
                <w:bCs/>
                <w:sz w:val="20"/>
                <w:szCs w:val="20"/>
              </w:rPr>
            </w:pPr>
          </w:p>
        </w:tc>
        <w:tc>
          <w:tcPr>
            <w:tcW w:w="1440" w:type="dxa"/>
          </w:tcPr>
          <w:p w14:paraId="78975B6D" w14:textId="77777777" w:rsidR="00FA6B66" w:rsidRPr="00540D8E" w:rsidRDefault="00FA6B66" w:rsidP="00FA6B66">
            <w:pPr>
              <w:jc w:val="center"/>
              <w:rPr>
                <w:bCs/>
                <w:sz w:val="20"/>
                <w:szCs w:val="20"/>
              </w:rPr>
            </w:pPr>
          </w:p>
        </w:tc>
        <w:tc>
          <w:tcPr>
            <w:tcW w:w="990" w:type="dxa"/>
          </w:tcPr>
          <w:p w14:paraId="477266EB" w14:textId="77777777" w:rsidR="00FA6B66" w:rsidRPr="00540D8E" w:rsidRDefault="00FA6B66" w:rsidP="00FA6B66">
            <w:pPr>
              <w:jc w:val="center"/>
              <w:rPr>
                <w:bCs/>
                <w:sz w:val="20"/>
                <w:szCs w:val="20"/>
              </w:rPr>
            </w:pPr>
          </w:p>
        </w:tc>
      </w:tr>
      <w:tr w:rsidR="002929DD" w14:paraId="595AC481" w14:textId="77777777" w:rsidTr="00EB3F3B">
        <w:trPr>
          <w:jc w:val="center"/>
        </w:trPr>
        <w:tc>
          <w:tcPr>
            <w:tcW w:w="1525" w:type="dxa"/>
          </w:tcPr>
          <w:p w14:paraId="49ECA6C6" w14:textId="2C2877F6" w:rsidR="00FA6B66" w:rsidRPr="00540D8E" w:rsidRDefault="00FA6B66" w:rsidP="00540D8E">
            <w:pPr>
              <w:rPr>
                <w:b/>
                <w:sz w:val="20"/>
                <w:szCs w:val="20"/>
              </w:rPr>
            </w:pPr>
            <w:r w:rsidRPr="005C6F4C">
              <w:rPr>
                <w:sz w:val="20"/>
                <w:szCs w:val="20"/>
              </w:rPr>
              <w:t>Reputation</w:t>
            </w:r>
          </w:p>
        </w:tc>
        <w:tc>
          <w:tcPr>
            <w:tcW w:w="270" w:type="dxa"/>
          </w:tcPr>
          <w:p w14:paraId="16C6D6FE" w14:textId="77777777" w:rsidR="00FA6B66" w:rsidRPr="00540D8E" w:rsidRDefault="00FA6B66" w:rsidP="00FA6B66">
            <w:pPr>
              <w:jc w:val="center"/>
              <w:rPr>
                <w:b/>
                <w:sz w:val="20"/>
                <w:szCs w:val="20"/>
              </w:rPr>
            </w:pPr>
          </w:p>
        </w:tc>
        <w:tc>
          <w:tcPr>
            <w:tcW w:w="1260" w:type="dxa"/>
          </w:tcPr>
          <w:p w14:paraId="7FF138A2" w14:textId="595B4A6F" w:rsidR="00FA6B66" w:rsidRPr="00540D8E" w:rsidRDefault="00C8614C" w:rsidP="00FA6B66">
            <w:pPr>
              <w:jc w:val="center"/>
              <w:rPr>
                <w:bCs/>
                <w:sz w:val="20"/>
                <w:szCs w:val="20"/>
              </w:rPr>
            </w:pPr>
            <w:r w:rsidRPr="00540D8E">
              <w:rPr>
                <w:bCs/>
                <w:sz w:val="20"/>
                <w:szCs w:val="20"/>
              </w:rPr>
              <w:t>0.0</w:t>
            </w:r>
            <w:r w:rsidR="00274DD4" w:rsidRPr="00540D8E">
              <w:rPr>
                <w:bCs/>
                <w:sz w:val="20"/>
                <w:szCs w:val="20"/>
              </w:rPr>
              <w:t>975</w:t>
            </w:r>
          </w:p>
          <w:p w14:paraId="653298AD" w14:textId="034BF259" w:rsidR="00C8614C" w:rsidRPr="00540D8E" w:rsidRDefault="00C8614C" w:rsidP="00FA6B66">
            <w:pPr>
              <w:jc w:val="center"/>
              <w:rPr>
                <w:bCs/>
                <w:sz w:val="20"/>
                <w:szCs w:val="20"/>
              </w:rPr>
            </w:pPr>
            <w:r w:rsidRPr="00540D8E">
              <w:rPr>
                <w:bCs/>
                <w:sz w:val="20"/>
                <w:szCs w:val="20"/>
              </w:rPr>
              <w:t>(0.35</w:t>
            </w:r>
            <w:r w:rsidR="00274DD4" w:rsidRPr="00540D8E">
              <w:rPr>
                <w:bCs/>
                <w:sz w:val="20"/>
                <w:szCs w:val="20"/>
              </w:rPr>
              <w:t>43</w:t>
            </w:r>
            <w:r w:rsidRPr="00540D8E">
              <w:rPr>
                <w:bCs/>
                <w:sz w:val="20"/>
                <w:szCs w:val="20"/>
              </w:rPr>
              <w:t>)</w:t>
            </w:r>
          </w:p>
        </w:tc>
        <w:tc>
          <w:tcPr>
            <w:tcW w:w="900" w:type="dxa"/>
          </w:tcPr>
          <w:p w14:paraId="273638BF" w14:textId="2DE5FE34" w:rsidR="00FA6B66" w:rsidRPr="00540D8E" w:rsidRDefault="00C8614C" w:rsidP="00FA6B66">
            <w:pPr>
              <w:jc w:val="center"/>
              <w:rPr>
                <w:bCs/>
                <w:sz w:val="20"/>
                <w:szCs w:val="20"/>
              </w:rPr>
            </w:pPr>
            <w:r w:rsidRPr="00540D8E">
              <w:rPr>
                <w:bCs/>
                <w:sz w:val="20"/>
                <w:szCs w:val="20"/>
              </w:rPr>
              <w:t>0.0</w:t>
            </w:r>
            <w:r w:rsidR="00274DD4" w:rsidRPr="00540D8E">
              <w:rPr>
                <w:bCs/>
                <w:sz w:val="20"/>
                <w:szCs w:val="20"/>
              </w:rPr>
              <w:t>8</w:t>
            </w:r>
          </w:p>
        </w:tc>
        <w:tc>
          <w:tcPr>
            <w:tcW w:w="1260" w:type="dxa"/>
          </w:tcPr>
          <w:p w14:paraId="61180CD9" w14:textId="22159D53" w:rsidR="00FA6B66" w:rsidRPr="00540D8E" w:rsidRDefault="00797914" w:rsidP="00FA6B66">
            <w:pPr>
              <w:jc w:val="center"/>
              <w:rPr>
                <w:bCs/>
                <w:sz w:val="20"/>
                <w:szCs w:val="20"/>
              </w:rPr>
            </w:pPr>
            <w:r w:rsidRPr="00540D8E">
              <w:rPr>
                <w:bCs/>
                <w:sz w:val="20"/>
                <w:szCs w:val="20"/>
              </w:rPr>
              <w:t>-0.3547 (0.6833)</w:t>
            </w:r>
          </w:p>
        </w:tc>
        <w:tc>
          <w:tcPr>
            <w:tcW w:w="900" w:type="dxa"/>
          </w:tcPr>
          <w:p w14:paraId="7B09ADF9" w14:textId="6F81BBC3" w:rsidR="00FA6B66" w:rsidRPr="00540D8E" w:rsidRDefault="00797914" w:rsidP="00FA6B66">
            <w:pPr>
              <w:jc w:val="center"/>
              <w:rPr>
                <w:bCs/>
                <w:sz w:val="20"/>
                <w:szCs w:val="20"/>
              </w:rPr>
            </w:pPr>
            <w:r w:rsidRPr="00540D8E">
              <w:rPr>
                <w:bCs/>
                <w:sz w:val="20"/>
                <w:szCs w:val="20"/>
              </w:rPr>
              <w:t>0.27</w:t>
            </w:r>
          </w:p>
        </w:tc>
        <w:tc>
          <w:tcPr>
            <w:tcW w:w="1170" w:type="dxa"/>
          </w:tcPr>
          <w:p w14:paraId="72B1BF2A" w14:textId="1F25A76B" w:rsidR="00FA6B66" w:rsidRPr="00540D8E" w:rsidRDefault="00E13506" w:rsidP="00FA6B66">
            <w:pPr>
              <w:jc w:val="center"/>
              <w:rPr>
                <w:bCs/>
                <w:sz w:val="20"/>
                <w:szCs w:val="20"/>
              </w:rPr>
            </w:pPr>
            <w:r w:rsidRPr="00540D8E">
              <w:rPr>
                <w:bCs/>
                <w:sz w:val="20"/>
                <w:szCs w:val="20"/>
              </w:rPr>
              <w:t>0.0701 (0.4045)</w:t>
            </w:r>
          </w:p>
        </w:tc>
        <w:tc>
          <w:tcPr>
            <w:tcW w:w="900" w:type="dxa"/>
          </w:tcPr>
          <w:p w14:paraId="28BCFA4A" w14:textId="62027418" w:rsidR="00FA6B66" w:rsidRPr="00540D8E" w:rsidRDefault="00E13506" w:rsidP="00FA6B66">
            <w:pPr>
              <w:jc w:val="center"/>
              <w:rPr>
                <w:bCs/>
                <w:sz w:val="20"/>
                <w:szCs w:val="20"/>
              </w:rPr>
            </w:pPr>
            <w:r w:rsidRPr="00540D8E">
              <w:rPr>
                <w:bCs/>
                <w:sz w:val="20"/>
                <w:szCs w:val="20"/>
              </w:rPr>
              <w:t>0.03</w:t>
            </w:r>
          </w:p>
        </w:tc>
        <w:tc>
          <w:tcPr>
            <w:tcW w:w="1170" w:type="dxa"/>
          </w:tcPr>
          <w:p w14:paraId="27FFA266" w14:textId="2F462890" w:rsidR="00FA6B66" w:rsidRPr="00540D8E" w:rsidRDefault="007455F1" w:rsidP="00FA6B66">
            <w:pPr>
              <w:jc w:val="center"/>
              <w:rPr>
                <w:bCs/>
                <w:sz w:val="20"/>
                <w:szCs w:val="20"/>
              </w:rPr>
            </w:pPr>
            <w:r>
              <w:rPr>
                <w:bCs/>
                <w:sz w:val="20"/>
                <w:szCs w:val="20"/>
              </w:rPr>
              <w:t>-0.6467 (0.4388)</w:t>
            </w:r>
          </w:p>
        </w:tc>
        <w:tc>
          <w:tcPr>
            <w:tcW w:w="900" w:type="dxa"/>
          </w:tcPr>
          <w:p w14:paraId="1505EB83" w14:textId="0E9C9639" w:rsidR="00FA6B66" w:rsidRPr="00540D8E" w:rsidRDefault="007455F1" w:rsidP="00FA6B66">
            <w:pPr>
              <w:jc w:val="center"/>
              <w:rPr>
                <w:bCs/>
                <w:sz w:val="20"/>
                <w:szCs w:val="20"/>
              </w:rPr>
            </w:pPr>
            <w:r>
              <w:rPr>
                <w:bCs/>
                <w:sz w:val="20"/>
                <w:szCs w:val="20"/>
              </w:rPr>
              <w:t>2.17</w:t>
            </w:r>
          </w:p>
        </w:tc>
        <w:tc>
          <w:tcPr>
            <w:tcW w:w="1080" w:type="dxa"/>
          </w:tcPr>
          <w:p w14:paraId="4A53117F" w14:textId="77777777" w:rsidR="00FA6B66" w:rsidRDefault="000347DB" w:rsidP="00FA6B66">
            <w:pPr>
              <w:jc w:val="center"/>
              <w:rPr>
                <w:bCs/>
                <w:sz w:val="20"/>
                <w:szCs w:val="20"/>
              </w:rPr>
            </w:pPr>
            <w:r>
              <w:rPr>
                <w:bCs/>
                <w:sz w:val="20"/>
                <w:szCs w:val="20"/>
              </w:rPr>
              <w:t>-1.2472</w:t>
            </w:r>
          </w:p>
          <w:p w14:paraId="1F28CCDF" w14:textId="20161461" w:rsidR="000347DB" w:rsidRPr="00540D8E" w:rsidRDefault="000347DB" w:rsidP="00FA6B66">
            <w:pPr>
              <w:jc w:val="center"/>
              <w:rPr>
                <w:bCs/>
                <w:sz w:val="20"/>
                <w:szCs w:val="20"/>
              </w:rPr>
            </w:pPr>
            <w:r>
              <w:rPr>
                <w:bCs/>
                <w:sz w:val="20"/>
                <w:szCs w:val="20"/>
              </w:rPr>
              <w:t>(0.9279)</w:t>
            </w:r>
          </w:p>
        </w:tc>
        <w:tc>
          <w:tcPr>
            <w:tcW w:w="905" w:type="dxa"/>
          </w:tcPr>
          <w:p w14:paraId="66D3F625" w14:textId="1FBEFD22" w:rsidR="00FA6B66" w:rsidRPr="00540D8E" w:rsidRDefault="000347DB" w:rsidP="00FA6B66">
            <w:pPr>
              <w:jc w:val="center"/>
              <w:rPr>
                <w:bCs/>
                <w:sz w:val="20"/>
                <w:szCs w:val="20"/>
              </w:rPr>
            </w:pPr>
            <w:r>
              <w:rPr>
                <w:bCs/>
                <w:sz w:val="20"/>
                <w:szCs w:val="20"/>
              </w:rPr>
              <w:t>1.81</w:t>
            </w:r>
          </w:p>
        </w:tc>
        <w:tc>
          <w:tcPr>
            <w:tcW w:w="1440" w:type="dxa"/>
          </w:tcPr>
          <w:p w14:paraId="21573F92" w14:textId="0970078B" w:rsidR="00FA6B66" w:rsidRPr="00540D8E" w:rsidRDefault="00C70C44" w:rsidP="00FA6B66">
            <w:pPr>
              <w:jc w:val="center"/>
              <w:rPr>
                <w:bCs/>
                <w:sz w:val="20"/>
                <w:szCs w:val="20"/>
              </w:rPr>
            </w:pPr>
            <w:r>
              <w:rPr>
                <w:bCs/>
                <w:sz w:val="20"/>
                <w:szCs w:val="20"/>
              </w:rPr>
              <w:t>-0.2592 (1.0949)</w:t>
            </w:r>
          </w:p>
        </w:tc>
        <w:tc>
          <w:tcPr>
            <w:tcW w:w="990" w:type="dxa"/>
          </w:tcPr>
          <w:p w14:paraId="467EC8CC" w14:textId="1333502A" w:rsidR="00FA6B66" w:rsidRPr="00540D8E" w:rsidRDefault="00C70C44" w:rsidP="00FA6B66">
            <w:pPr>
              <w:jc w:val="center"/>
              <w:rPr>
                <w:bCs/>
                <w:sz w:val="20"/>
                <w:szCs w:val="20"/>
              </w:rPr>
            </w:pPr>
            <w:r>
              <w:rPr>
                <w:bCs/>
                <w:sz w:val="20"/>
                <w:szCs w:val="20"/>
              </w:rPr>
              <w:t>0.06</w:t>
            </w:r>
          </w:p>
        </w:tc>
      </w:tr>
      <w:tr w:rsidR="002929DD" w14:paraId="398900DB" w14:textId="77777777" w:rsidTr="00EB3F3B">
        <w:trPr>
          <w:jc w:val="center"/>
        </w:trPr>
        <w:tc>
          <w:tcPr>
            <w:tcW w:w="1525" w:type="dxa"/>
          </w:tcPr>
          <w:p w14:paraId="25989EB7" w14:textId="278ED3B6" w:rsidR="00FA6B66" w:rsidRPr="00540D8E" w:rsidRDefault="00FA6B66" w:rsidP="00540D8E">
            <w:pPr>
              <w:rPr>
                <w:b/>
                <w:sz w:val="20"/>
                <w:szCs w:val="20"/>
              </w:rPr>
            </w:pPr>
            <w:r w:rsidRPr="005C6F4C">
              <w:rPr>
                <w:sz w:val="20"/>
                <w:szCs w:val="20"/>
              </w:rPr>
              <w:t>Log of Potential Affected</w:t>
            </w:r>
          </w:p>
        </w:tc>
        <w:tc>
          <w:tcPr>
            <w:tcW w:w="270" w:type="dxa"/>
          </w:tcPr>
          <w:p w14:paraId="6B0DA6C6" w14:textId="77777777" w:rsidR="00FA6B66" w:rsidRPr="00540D8E" w:rsidRDefault="00FA6B66" w:rsidP="00FA6B66">
            <w:pPr>
              <w:jc w:val="center"/>
              <w:rPr>
                <w:b/>
                <w:sz w:val="20"/>
                <w:szCs w:val="20"/>
              </w:rPr>
            </w:pPr>
          </w:p>
        </w:tc>
        <w:tc>
          <w:tcPr>
            <w:tcW w:w="1260" w:type="dxa"/>
          </w:tcPr>
          <w:p w14:paraId="05C3E109" w14:textId="3D2A82F0" w:rsidR="00FA6B66" w:rsidRPr="00540D8E" w:rsidRDefault="00726472" w:rsidP="00FA6B66">
            <w:pPr>
              <w:jc w:val="center"/>
              <w:rPr>
                <w:bCs/>
                <w:sz w:val="20"/>
                <w:szCs w:val="20"/>
              </w:rPr>
            </w:pPr>
            <w:r w:rsidRPr="00540D8E">
              <w:rPr>
                <w:bCs/>
                <w:sz w:val="20"/>
                <w:szCs w:val="20"/>
              </w:rPr>
              <w:t>0.</w:t>
            </w:r>
            <w:r w:rsidR="00274DD4" w:rsidRPr="00540D8E">
              <w:rPr>
                <w:bCs/>
                <w:sz w:val="20"/>
                <w:szCs w:val="20"/>
              </w:rPr>
              <w:t>3261</w:t>
            </w:r>
            <w:r w:rsidR="000E60ED">
              <w:rPr>
                <w:bCs/>
                <w:sz w:val="20"/>
                <w:szCs w:val="20"/>
              </w:rPr>
              <w:t>*</w:t>
            </w:r>
            <w:r w:rsidRPr="00540D8E">
              <w:rPr>
                <w:bCs/>
                <w:sz w:val="20"/>
                <w:szCs w:val="20"/>
              </w:rPr>
              <w:t xml:space="preserve"> (0.3129)</w:t>
            </w:r>
          </w:p>
        </w:tc>
        <w:tc>
          <w:tcPr>
            <w:tcW w:w="900" w:type="dxa"/>
          </w:tcPr>
          <w:p w14:paraId="36AAF669" w14:textId="2A8D1AB9" w:rsidR="00FA6B66" w:rsidRPr="00540D8E" w:rsidRDefault="00274DD4" w:rsidP="00FA6B66">
            <w:pPr>
              <w:jc w:val="center"/>
              <w:rPr>
                <w:bCs/>
                <w:sz w:val="20"/>
                <w:szCs w:val="20"/>
              </w:rPr>
            </w:pPr>
            <w:r w:rsidRPr="00540D8E">
              <w:rPr>
                <w:bCs/>
                <w:sz w:val="20"/>
                <w:szCs w:val="20"/>
              </w:rPr>
              <w:t>2</w:t>
            </w:r>
            <w:r w:rsidR="00726472" w:rsidRPr="00540D8E">
              <w:rPr>
                <w:bCs/>
                <w:sz w:val="20"/>
                <w:szCs w:val="20"/>
              </w:rPr>
              <w:t>.</w:t>
            </w:r>
            <w:r w:rsidRPr="00540D8E">
              <w:rPr>
                <w:bCs/>
                <w:sz w:val="20"/>
                <w:szCs w:val="20"/>
              </w:rPr>
              <w:t>53</w:t>
            </w:r>
          </w:p>
        </w:tc>
        <w:tc>
          <w:tcPr>
            <w:tcW w:w="1260" w:type="dxa"/>
          </w:tcPr>
          <w:p w14:paraId="469CC759" w14:textId="662BBAD2" w:rsidR="00FA6B66" w:rsidRPr="00540D8E" w:rsidRDefault="00FA6B66" w:rsidP="00FA6B66">
            <w:pPr>
              <w:jc w:val="center"/>
              <w:rPr>
                <w:bCs/>
                <w:sz w:val="20"/>
                <w:szCs w:val="20"/>
              </w:rPr>
            </w:pPr>
          </w:p>
        </w:tc>
        <w:tc>
          <w:tcPr>
            <w:tcW w:w="900" w:type="dxa"/>
          </w:tcPr>
          <w:p w14:paraId="4423C6CC" w14:textId="77777777" w:rsidR="00FA6B66" w:rsidRPr="00540D8E" w:rsidRDefault="00FA6B66" w:rsidP="00FA6B66">
            <w:pPr>
              <w:jc w:val="center"/>
              <w:rPr>
                <w:bCs/>
                <w:sz w:val="20"/>
                <w:szCs w:val="20"/>
              </w:rPr>
            </w:pPr>
          </w:p>
        </w:tc>
        <w:tc>
          <w:tcPr>
            <w:tcW w:w="1170" w:type="dxa"/>
          </w:tcPr>
          <w:p w14:paraId="07987A33" w14:textId="5C7B236F" w:rsidR="00FA6B66" w:rsidRPr="00540D8E" w:rsidRDefault="007455F1" w:rsidP="00FA6B66">
            <w:pPr>
              <w:jc w:val="center"/>
              <w:rPr>
                <w:bCs/>
                <w:sz w:val="20"/>
                <w:szCs w:val="20"/>
              </w:rPr>
            </w:pPr>
            <w:r>
              <w:rPr>
                <w:bCs/>
                <w:sz w:val="20"/>
                <w:szCs w:val="20"/>
              </w:rPr>
              <w:t>0.2499 (0.0451)</w:t>
            </w:r>
          </w:p>
        </w:tc>
        <w:tc>
          <w:tcPr>
            <w:tcW w:w="900" w:type="dxa"/>
          </w:tcPr>
          <w:p w14:paraId="040BCBCF" w14:textId="5B72F5B6" w:rsidR="00FA6B66" w:rsidRPr="00540D8E" w:rsidRDefault="007455F1" w:rsidP="00FA6B66">
            <w:pPr>
              <w:jc w:val="center"/>
              <w:rPr>
                <w:bCs/>
                <w:sz w:val="20"/>
                <w:szCs w:val="20"/>
              </w:rPr>
            </w:pPr>
            <w:r>
              <w:rPr>
                <w:bCs/>
                <w:sz w:val="20"/>
                <w:szCs w:val="20"/>
              </w:rPr>
              <w:t>0.00</w:t>
            </w:r>
          </w:p>
        </w:tc>
        <w:tc>
          <w:tcPr>
            <w:tcW w:w="1170" w:type="dxa"/>
          </w:tcPr>
          <w:p w14:paraId="7F94BA55" w14:textId="74DAAC2A" w:rsidR="00FA6B66" w:rsidRPr="00540D8E" w:rsidRDefault="00FA6B66" w:rsidP="00FA6B66">
            <w:pPr>
              <w:jc w:val="center"/>
              <w:rPr>
                <w:bCs/>
                <w:sz w:val="20"/>
                <w:szCs w:val="20"/>
              </w:rPr>
            </w:pPr>
          </w:p>
        </w:tc>
        <w:tc>
          <w:tcPr>
            <w:tcW w:w="900" w:type="dxa"/>
          </w:tcPr>
          <w:p w14:paraId="07BD5DD9" w14:textId="77777777" w:rsidR="00FA6B66" w:rsidRPr="00540D8E" w:rsidRDefault="00FA6B66" w:rsidP="00FA6B66">
            <w:pPr>
              <w:jc w:val="center"/>
              <w:rPr>
                <w:bCs/>
                <w:sz w:val="20"/>
                <w:szCs w:val="20"/>
              </w:rPr>
            </w:pPr>
          </w:p>
        </w:tc>
        <w:tc>
          <w:tcPr>
            <w:tcW w:w="1080" w:type="dxa"/>
          </w:tcPr>
          <w:p w14:paraId="06C5F0D4" w14:textId="7E590350" w:rsidR="00FA6B66" w:rsidRPr="00540D8E" w:rsidRDefault="000347DB" w:rsidP="00FA6B66">
            <w:pPr>
              <w:jc w:val="center"/>
              <w:rPr>
                <w:bCs/>
                <w:sz w:val="20"/>
                <w:szCs w:val="20"/>
              </w:rPr>
            </w:pPr>
            <w:r>
              <w:rPr>
                <w:bCs/>
                <w:sz w:val="20"/>
                <w:szCs w:val="20"/>
              </w:rPr>
              <w:t>0.4077 (1.3885)</w:t>
            </w:r>
          </w:p>
        </w:tc>
        <w:tc>
          <w:tcPr>
            <w:tcW w:w="905" w:type="dxa"/>
          </w:tcPr>
          <w:p w14:paraId="748E309C" w14:textId="2A25109A" w:rsidR="00FA6B66" w:rsidRPr="00540D8E" w:rsidRDefault="000347DB" w:rsidP="00FA6B66">
            <w:pPr>
              <w:jc w:val="center"/>
              <w:rPr>
                <w:bCs/>
                <w:sz w:val="20"/>
                <w:szCs w:val="20"/>
              </w:rPr>
            </w:pPr>
            <w:r>
              <w:rPr>
                <w:bCs/>
                <w:sz w:val="20"/>
                <w:szCs w:val="20"/>
              </w:rPr>
              <w:t>0.09</w:t>
            </w:r>
          </w:p>
        </w:tc>
        <w:tc>
          <w:tcPr>
            <w:tcW w:w="1440" w:type="dxa"/>
          </w:tcPr>
          <w:p w14:paraId="31A5E960" w14:textId="77777777" w:rsidR="00FA6B66" w:rsidRPr="00540D8E" w:rsidRDefault="00FA6B66" w:rsidP="00FA6B66">
            <w:pPr>
              <w:jc w:val="center"/>
              <w:rPr>
                <w:bCs/>
                <w:sz w:val="20"/>
                <w:szCs w:val="20"/>
              </w:rPr>
            </w:pPr>
          </w:p>
        </w:tc>
        <w:tc>
          <w:tcPr>
            <w:tcW w:w="990" w:type="dxa"/>
          </w:tcPr>
          <w:p w14:paraId="178D7D22" w14:textId="77777777" w:rsidR="00FA6B66" w:rsidRPr="00540D8E" w:rsidRDefault="00FA6B66" w:rsidP="00FA6B66">
            <w:pPr>
              <w:jc w:val="center"/>
              <w:rPr>
                <w:bCs/>
                <w:sz w:val="20"/>
                <w:szCs w:val="20"/>
              </w:rPr>
            </w:pPr>
          </w:p>
        </w:tc>
      </w:tr>
      <w:tr w:rsidR="002929DD" w14:paraId="49B704BC" w14:textId="77777777" w:rsidTr="00EB3F3B">
        <w:trPr>
          <w:jc w:val="center"/>
        </w:trPr>
        <w:tc>
          <w:tcPr>
            <w:tcW w:w="1525" w:type="dxa"/>
          </w:tcPr>
          <w:p w14:paraId="59ABF3E2" w14:textId="2D5CC190" w:rsidR="00FA6B66" w:rsidRPr="00540D8E" w:rsidRDefault="00FA6B66" w:rsidP="00540D8E">
            <w:pPr>
              <w:rPr>
                <w:b/>
                <w:sz w:val="20"/>
                <w:szCs w:val="20"/>
              </w:rPr>
            </w:pPr>
            <w:proofErr w:type="spellStart"/>
            <w:r w:rsidRPr="005C6F4C">
              <w:rPr>
                <w:sz w:val="20"/>
                <w:szCs w:val="20"/>
              </w:rPr>
              <w:t>Generalism</w:t>
            </w:r>
            <w:proofErr w:type="spellEnd"/>
            <w:r w:rsidRPr="005C6F4C">
              <w:rPr>
                <w:sz w:val="20"/>
                <w:szCs w:val="20"/>
              </w:rPr>
              <w:t xml:space="preserve"> </w:t>
            </w:r>
          </w:p>
        </w:tc>
        <w:tc>
          <w:tcPr>
            <w:tcW w:w="270" w:type="dxa"/>
          </w:tcPr>
          <w:p w14:paraId="34B8199E" w14:textId="77777777" w:rsidR="00FA6B66" w:rsidRPr="00540D8E" w:rsidRDefault="00FA6B66" w:rsidP="00FA6B66">
            <w:pPr>
              <w:jc w:val="center"/>
              <w:rPr>
                <w:b/>
                <w:sz w:val="20"/>
                <w:szCs w:val="20"/>
              </w:rPr>
            </w:pPr>
          </w:p>
        </w:tc>
        <w:tc>
          <w:tcPr>
            <w:tcW w:w="1260" w:type="dxa"/>
          </w:tcPr>
          <w:p w14:paraId="15BB872F" w14:textId="55DC3386" w:rsidR="00FA6B66" w:rsidRPr="00540D8E" w:rsidRDefault="00726472" w:rsidP="00FA6B66">
            <w:pPr>
              <w:jc w:val="center"/>
              <w:rPr>
                <w:bCs/>
                <w:sz w:val="20"/>
                <w:szCs w:val="20"/>
              </w:rPr>
            </w:pPr>
            <w:r w:rsidRPr="00540D8E">
              <w:rPr>
                <w:bCs/>
                <w:sz w:val="20"/>
                <w:szCs w:val="20"/>
              </w:rPr>
              <w:t>0.02</w:t>
            </w:r>
            <w:r w:rsidR="00274DD4" w:rsidRPr="00540D8E">
              <w:rPr>
                <w:bCs/>
                <w:sz w:val="20"/>
                <w:szCs w:val="20"/>
              </w:rPr>
              <w:t>22</w:t>
            </w:r>
            <w:r w:rsidRPr="00540D8E">
              <w:rPr>
                <w:bCs/>
                <w:sz w:val="20"/>
                <w:szCs w:val="20"/>
              </w:rPr>
              <w:t xml:space="preserve"> (0.101</w:t>
            </w:r>
            <w:r w:rsidR="00274DD4" w:rsidRPr="00540D8E">
              <w:rPr>
                <w:bCs/>
                <w:sz w:val="20"/>
                <w:szCs w:val="20"/>
              </w:rPr>
              <w:t>5</w:t>
            </w:r>
            <w:r w:rsidRPr="00540D8E">
              <w:rPr>
                <w:bCs/>
                <w:sz w:val="20"/>
                <w:szCs w:val="20"/>
              </w:rPr>
              <w:t>)</w:t>
            </w:r>
          </w:p>
        </w:tc>
        <w:tc>
          <w:tcPr>
            <w:tcW w:w="900" w:type="dxa"/>
          </w:tcPr>
          <w:p w14:paraId="6129F51B" w14:textId="6170BD72" w:rsidR="00FA6B66" w:rsidRPr="00540D8E" w:rsidRDefault="00726472" w:rsidP="00FA6B66">
            <w:pPr>
              <w:jc w:val="center"/>
              <w:rPr>
                <w:bCs/>
                <w:sz w:val="20"/>
                <w:szCs w:val="20"/>
              </w:rPr>
            </w:pPr>
            <w:r w:rsidRPr="00540D8E">
              <w:rPr>
                <w:bCs/>
                <w:sz w:val="20"/>
                <w:szCs w:val="20"/>
              </w:rPr>
              <w:t>0.05</w:t>
            </w:r>
          </w:p>
        </w:tc>
        <w:tc>
          <w:tcPr>
            <w:tcW w:w="1260" w:type="dxa"/>
          </w:tcPr>
          <w:p w14:paraId="563DE62C" w14:textId="57BBF81A" w:rsidR="00FA6B66" w:rsidRPr="00540D8E" w:rsidRDefault="00FA6B66" w:rsidP="00FA6B66">
            <w:pPr>
              <w:jc w:val="center"/>
              <w:rPr>
                <w:bCs/>
                <w:sz w:val="20"/>
                <w:szCs w:val="20"/>
              </w:rPr>
            </w:pPr>
          </w:p>
        </w:tc>
        <w:tc>
          <w:tcPr>
            <w:tcW w:w="900" w:type="dxa"/>
          </w:tcPr>
          <w:p w14:paraId="0FA4AAE0" w14:textId="77777777" w:rsidR="00FA6B66" w:rsidRPr="00540D8E" w:rsidRDefault="00FA6B66" w:rsidP="00FA6B66">
            <w:pPr>
              <w:jc w:val="center"/>
              <w:rPr>
                <w:bCs/>
                <w:sz w:val="20"/>
                <w:szCs w:val="20"/>
              </w:rPr>
            </w:pPr>
          </w:p>
        </w:tc>
        <w:tc>
          <w:tcPr>
            <w:tcW w:w="1170" w:type="dxa"/>
          </w:tcPr>
          <w:p w14:paraId="1FB4067F" w14:textId="2B8E5D79" w:rsidR="00FA6B66" w:rsidRPr="00540D8E" w:rsidRDefault="00FA6B66" w:rsidP="00FA6B66">
            <w:pPr>
              <w:jc w:val="center"/>
              <w:rPr>
                <w:bCs/>
                <w:sz w:val="20"/>
                <w:szCs w:val="20"/>
              </w:rPr>
            </w:pPr>
          </w:p>
        </w:tc>
        <w:tc>
          <w:tcPr>
            <w:tcW w:w="900" w:type="dxa"/>
          </w:tcPr>
          <w:p w14:paraId="5057240D" w14:textId="77777777" w:rsidR="00FA6B66" w:rsidRPr="00540D8E" w:rsidRDefault="00FA6B66" w:rsidP="00FA6B66">
            <w:pPr>
              <w:jc w:val="center"/>
              <w:rPr>
                <w:bCs/>
                <w:sz w:val="20"/>
                <w:szCs w:val="20"/>
              </w:rPr>
            </w:pPr>
          </w:p>
        </w:tc>
        <w:tc>
          <w:tcPr>
            <w:tcW w:w="1170" w:type="dxa"/>
          </w:tcPr>
          <w:p w14:paraId="5869E7D0" w14:textId="5396841D" w:rsidR="00FA6B66" w:rsidRPr="00540D8E" w:rsidRDefault="00FA6B66" w:rsidP="00FA6B66">
            <w:pPr>
              <w:jc w:val="center"/>
              <w:rPr>
                <w:bCs/>
                <w:sz w:val="20"/>
                <w:szCs w:val="20"/>
              </w:rPr>
            </w:pPr>
          </w:p>
        </w:tc>
        <w:tc>
          <w:tcPr>
            <w:tcW w:w="900" w:type="dxa"/>
          </w:tcPr>
          <w:p w14:paraId="71EF00CF" w14:textId="77777777" w:rsidR="00FA6B66" w:rsidRPr="00540D8E" w:rsidRDefault="00FA6B66" w:rsidP="00FA6B66">
            <w:pPr>
              <w:jc w:val="center"/>
              <w:rPr>
                <w:bCs/>
                <w:sz w:val="20"/>
                <w:szCs w:val="20"/>
              </w:rPr>
            </w:pPr>
          </w:p>
        </w:tc>
        <w:tc>
          <w:tcPr>
            <w:tcW w:w="1080" w:type="dxa"/>
          </w:tcPr>
          <w:p w14:paraId="78FEF4C4" w14:textId="77777777" w:rsidR="00FA6B66" w:rsidRPr="00540D8E" w:rsidRDefault="00FA6B66" w:rsidP="00FA6B66">
            <w:pPr>
              <w:jc w:val="center"/>
              <w:rPr>
                <w:bCs/>
                <w:sz w:val="20"/>
                <w:szCs w:val="20"/>
              </w:rPr>
            </w:pPr>
          </w:p>
        </w:tc>
        <w:tc>
          <w:tcPr>
            <w:tcW w:w="905" w:type="dxa"/>
          </w:tcPr>
          <w:p w14:paraId="2AAD73A4" w14:textId="77777777" w:rsidR="00FA6B66" w:rsidRPr="00540D8E" w:rsidRDefault="00FA6B66" w:rsidP="00FA6B66">
            <w:pPr>
              <w:jc w:val="center"/>
              <w:rPr>
                <w:bCs/>
                <w:sz w:val="20"/>
                <w:szCs w:val="20"/>
              </w:rPr>
            </w:pPr>
          </w:p>
        </w:tc>
        <w:tc>
          <w:tcPr>
            <w:tcW w:w="1440" w:type="dxa"/>
          </w:tcPr>
          <w:p w14:paraId="4C2FF2D2" w14:textId="77777777" w:rsidR="00FA6B66" w:rsidRPr="00540D8E" w:rsidRDefault="00FA6B66" w:rsidP="00FA6B66">
            <w:pPr>
              <w:jc w:val="center"/>
              <w:rPr>
                <w:bCs/>
                <w:sz w:val="20"/>
                <w:szCs w:val="20"/>
              </w:rPr>
            </w:pPr>
          </w:p>
        </w:tc>
        <w:tc>
          <w:tcPr>
            <w:tcW w:w="990" w:type="dxa"/>
          </w:tcPr>
          <w:p w14:paraId="4C089078" w14:textId="77777777" w:rsidR="00FA6B66" w:rsidRPr="00540D8E" w:rsidRDefault="00FA6B66" w:rsidP="00FA6B66">
            <w:pPr>
              <w:jc w:val="center"/>
              <w:rPr>
                <w:bCs/>
                <w:sz w:val="20"/>
                <w:szCs w:val="20"/>
              </w:rPr>
            </w:pPr>
          </w:p>
        </w:tc>
      </w:tr>
      <w:tr w:rsidR="002929DD" w14:paraId="45DF4119" w14:textId="77777777" w:rsidTr="00EB3F3B">
        <w:trPr>
          <w:jc w:val="center"/>
        </w:trPr>
        <w:tc>
          <w:tcPr>
            <w:tcW w:w="1525" w:type="dxa"/>
          </w:tcPr>
          <w:p w14:paraId="3E2C1EF7" w14:textId="5A7A7FFC" w:rsidR="00FA6B66" w:rsidRPr="00540D8E" w:rsidRDefault="00FA6B66" w:rsidP="00540D8E">
            <w:pPr>
              <w:rPr>
                <w:b/>
                <w:sz w:val="20"/>
                <w:szCs w:val="20"/>
              </w:rPr>
            </w:pPr>
            <w:r w:rsidRPr="005C6F4C">
              <w:rPr>
                <w:sz w:val="20"/>
                <w:szCs w:val="20"/>
              </w:rPr>
              <w:t>Severity</w:t>
            </w:r>
          </w:p>
        </w:tc>
        <w:tc>
          <w:tcPr>
            <w:tcW w:w="270" w:type="dxa"/>
          </w:tcPr>
          <w:p w14:paraId="3DACBBB4" w14:textId="77777777" w:rsidR="00FA6B66" w:rsidRPr="00540D8E" w:rsidRDefault="00FA6B66" w:rsidP="00FA6B66">
            <w:pPr>
              <w:jc w:val="center"/>
              <w:rPr>
                <w:b/>
                <w:sz w:val="20"/>
                <w:szCs w:val="20"/>
              </w:rPr>
            </w:pPr>
          </w:p>
        </w:tc>
        <w:tc>
          <w:tcPr>
            <w:tcW w:w="1260" w:type="dxa"/>
          </w:tcPr>
          <w:p w14:paraId="1830BC95" w14:textId="4016F914" w:rsidR="00FA6B66" w:rsidRPr="00540D8E" w:rsidRDefault="00726472" w:rsidP="00FA6B66">
            <w:pPr>
              <w:jc w:val="center"/>
              <w:rPr>
                <w:bCs/>
                <w:sz w:val="20"/>
                <w:szCs w:val="20"/>
              </w:rPr>
            </w:pPr>
            <w:r w:rsidRPr="00540D8E">
              <w:rPr>
                <w:bCs/>
                <w:sz w:val="20"/>
                <w:szCs w:val="20"/>
              </w:rPr>
              <w:t>2</w:t>
            </w:r>
            <w:r w:rsidR="00274DD4" w:rsidRPr="00540D8E">
              <w:rPr>
                <w:bCs/>
                <w:sz w:val="20"/>
                <w:szCs w:val="20"/>
              </w:rPr>
              <w:t>1</w:t>
            </w:r>
            <w:r w:rsidRPr="00540D8E">
              <w:rPr>
                <w:bCs/>
                <w:sz w:val="20"/>
                <w:szCs w:val="20"/>
              </w:rPr>
              <w:t>.</w:t>
            </w:r>
            <w:r w:rsidR="00274DD4" w:rsidRPr="00540D8E">
              <w:rPr>
                <w:bCs/>
                <w:sz w:val="20"/>
                <w:szCs w:val="20"/>
              </w:rPr>
              <w:t>7231</w:t>
            </w:r>
          </w:p>
          <w:p w14:paraId="26A9B74B" w14:textId="07352DA5" w:rsidR="00F55AF8" w:rsidRPr="00540D8E" w:rsidRDefault="00F55AF8" w:rsidP="00FA6B66">
            <w:pPr>
              <w:jc w:val="center"/>
              <w:rPr>
                <w:bCs/>
                <w:sz w:val="20"/>
                <w:szCs w:val="20"/>
              </w:rPr>
            </w:pPr>
            <w:r w:rsidRPr="00540D8E">
              <w:rPr>
                <w:bCs/>
                <w:sz w:val="20"/>
                <w:szCs w:val="20"/>
              </w:rPr>
              <w:t>(</w:t>
            </w:r>
            <w:r w:rsidR="00274DD4" w:rsidRPr="00540D8E">
              <w:rPr>
                <w:bCs/>
                <w:sz w:val="20"/>
                <w:szCs w:val="20"/>
              </w:rPr>
              <w:t>121612.4</w:t>
            </w:r>
            <w:r w:rsidRPr="00540D8E">
              <w:rPr>
                <w:bCs/>
                <w:sz w:val="20"/>
                <w:szCs w:val="20"/>
              </w:rPr>
              <w:t>)</w:t>
            </w:r>
          </w:p>
        </w:tc>
        <w:tc>
          <w:tcPr>
            <w:tcW w:w="900" w:type="dxa"/>
          </w:tcPr>
          <w:p w14:paraId="018F1AAE" w14:textId="3C93CB7C" w:rsidR="00FA6B66" w:rsidRPr="00540D8E" w:rsidRDefault="00F55AF8" w:rsidP="00FA6B66">
            <w:pPr>
              <w:jc w:val="center"/>
              <w:rPr>
                <w:bCs/>
                <w:sz w:val="20"/>
                <w:szCs w:val="20"/>
              </w:rPr>
            </w:pPr>
            <w:r w:rsidRPr="00540D8E">
              <w:rPr>
                <w:bCs/>
                <w:sz w:val="20"/>
                <w:szCs w:val="20"/>
              </w:rPr>
              <w:t>0.00</w:t>
            </w:r>
          </w:p>
        </w:tc>
        <w:tc>
          <w:tcPr>
            <w:tcW w:w="1260" w:type="dxa"/>
          </w:tcPr>
          <w:p w14:paraId="57E975FC" w14:textId="68F41C96" w:rsidR="00FA6B66" w:rsidRPr="00540D8E" w:rsidRDefault="00797914" w:rsidP="00FA6B66">
            <w:pPr>
              <w:jc w:val="center"/>
              <w:rPr>
                <w:bCs/>
                <w:sz w:val="20"/>
                <w:szCs w:val="20"/>
              </w:rPr>
            </w:pPr>
            <w:r w:rsidRPr="00540D8E">
              <w:rPr>
                <w:bCs/>
                <w:sz w:val="20"/>
                <w:szCs w:val="20"/>
              </w:rPr>
              <w:t>24.7357 (83245.47)</w:t>
            </w:r>
          </w:p>
        </w:tc>
        <w:tc>
          <w:tcPr>
            <w:tcW w:w="900" w:type="dxa"/>
          </w:tcPr>
          <w:p w14:paraId="08868EE1" w14:textId="50C1BF69" w:rsidR="00FA6B66" w:rsidRPr="00540D8E" w:rsidRDefault="00797914" w:rsidP="00FA6B66">
            <w:pPr>
              <w:jc w:val="center"/>
              <w:rPr>
                <w:bCs/>
                <w:sz w:val="20"/>
                <w:szCs w:val="20"/>
              </w:rPr>
            </w:pPr>
            <w:r w:rsidRPr="00540D8E">
              <w:rPr>
                <w:bCs/>
                <w:sz w:val="20"/>
                <w:szCs w:val="20"/>
              </w:rPr>
              <w:t>0.00</w:t>
            </w:r>
          </w:p>
        </w:tc>
        <w:tc>
          <w:tcPr>
            <w:tcW w:w="1170" w:type="dxa"/>
          </w:tcPr>
          <w:p w14:paraId="5FAF3100" w14:textId="77777777" w:rsidR="00FA6B66" w:rsidRPr="00540D8E" w:rsidRDefault="00E13506" w:rsidP="00FA6B66">
            <w:pPr>
              <w:jc w:val="center"/>
              <w:rPr>
                <w:bCs/>
                <w:sz w:val="20"/>
                <w:szCs w:val="20"/>
              </w:rPr>
            </w:pPr>
            <w:r w:rsidRPr="00540D8E">
              <w:rPr>
                <w:bCs/>
                <w:sz w:val="20"/>
                <w:szCs w:val="20"/>
              </w:rPr>
              <w:t>25.1093</w:t>
            </w:r>
          </w:p>
          <w:p w14:paraId="3260382A" w14:textId="1F5C8B50" w:rsidR="00E13506" w:rsidRPr="00540D8E" w:rsidRDefault="00E13506" w:rsidP="00FA6B66">
            <w:pPr>
              <w:jc w:val="center"/>
              <w:rPr>
                <w:bCs/>
                <w:sz w:val="20"/>
                <w:szCs w:val="20"/>
              </w:rPr>
            </w:pPr>
            <w:r w:rsidRPr="00540D8E">
              <w:rPr>
                <w:bCs/>
                <w:sz w:val="20"/>
                <w:szCs w:val="20"/>
              </w:rPr>
              <w:t>(131465.8)</w:t>
            </w:r>
          </w:p>
        </w:tc>
        <w:tc>
          <w:tcPr>
            <w:tcW w:w="900" w:type="dxa"/>
          </w:tcPr>
          <w:p w14:paraId="68AFBBA3" w14:textId="076CEF27" w:rsidR="00FA6B66" w:rsidRPr="00540D8E" w:rsidRDefault="00E13506" w:rsidP="00FA6B66">
            <w:pPr>
              <w:jc w:val="center"/>
              <w:rPr>
                <w:bCs/>
                <w:sz w:val="20"/>
                <w:szCs w:val="20"/>
              </w:rPr>
            </w:pPr>
            <w:r w:rsidRPr="00540D8E">
              <w:rPr>
                <w:bCs/>
                <w:sz w:val="20"/>
                <w:szCs w:val="20"/>
              </w:rPr>
              <w:t>0.00</w:t>
            </w:r>
          </w:p>
        </w:tc>
        <w:tc>
          <w:tcPr>
            <w:tcW w:w="1170" w:type="dxa"/>
          </w:tcPr>
          <w:p w14:paraId="30576126" w14:textId="6479060C" w:rsidR="00FA6B66" w:rsidRPr="00540D8E" w:rsidRDefault="007455F1" w:rsidP="00FA6B66">
            <w:pPr>
              <w:jc w:val="center"/>
              <w:rPr>
                <w:bCs/>
                <w:sz w:val="20"/>
                <w:szCs w:val="20"/>
              </w:rPr>
            </w:pPr>
            <w:r>
              <w:rPr>
                <w:bCs/>
                <w:sz w:val="20"/>
                <w:szCs w:val="20"/>
              </w:rPr>
              <w:t>25.5709 (140955.2)</w:t>
            </w:r>
          </w:p>
        </w:tc>
        <w:tc>
          <w:tcPr>
            <w:tcW w:w="900" w:type="dxa"/>
          </w:tcPr>
          <w:p w14:paraId="2336C9FF" w14:textId="41BEFB63" w:rsidR="00FA6B66" w:rsidRPr="00540D8E" w:rsidRDefault="009564D7" w:rsidP="00FA6B66">
            <w:pPr>
              <w:jc w:val="center"/>
              <w:rPr>
                <w:bCs/>
                <w:sz w:val="20"/>
                <w:szCs w:val="20"/>
              </w:rPr>
            </w:pPr>
            <w:r>
              <w:rPr>
                <w:bCs/>
                <w:sz w:val="20"/>
                <w:szCs w:val="20"/>
              </w:rPr>
              <w:t>0.00</w:t>
            </w:r>
          </w:p>
        </w:tc>
        <w:tc>
          <w:tcPr>
            <w:tcW w:w="1080" w:type="dxa"/>
          </w:tcPr>
          <w:p w14:paraId="07EFF14A" w14:textId="6C1FE373" w:rsidR="00FA6B66" w:rsidRPr="00540D8E" w:rsidRDefault="000347DB" w:rsidP="00FA6B66">
            <w:pPr>
              <w:jc w:val="center"/>
              <w:rPr>
                <w:bCs/>
                <w:sz w:val="20"/>
                <w:szCs w:val="20"/>
              </w:rPr>
            </w:pPr>
            <w:r>
              <w:rPr>
                <w:bCs/>
                <w:sz w:val="20"/>
                <w:szCs w:val="20"/>
              </w:rPr>
              <w:t>22.9812 (1135564)</w:t>
            </w:r>
          </w:p>
        </w:tc>
        <w:tc>
          <w:tcPr>
            <w:tcW w:w="905" w:type="dxa"/>
          </w:tcPr>
          <w:p w14:paraId="60AC790E" w14:textId="66C08339" w:rsidR="00FA6B66" w:rsidRPr="00540D8E" w:rsidRDefault="000347DB" w:rsidP="00FA6B66">
            <w:pPr>
              <w:jc w:val="center"/>
              <w:rPr>
                <w:bCs/>
                <w:sz w:val="20"/>
                <w:szCs w:val="20"/>
              </w:rPr>
            </w:pPr>
            <w:r>
              <w:rPr>
                <w:bCs/>
                <w:sz w:val="20"/>
                <w:szCs w:val="20"/>
              </w:rPr>
              <w:t>0.00</w:t>
            </w:r>
          </w:p>
        </w:tc>
        <w:tc>
          <w:tcPr>
            <w:tcW w:w="1440" w:type="dxa"/>
          </w:tcPr>
          <w:p w14:paraId="519E4711" w14:textId="1E3463B8" w:rsidR="00FA6B66" w:rsidRPr="00540D8E" w:rsidRDefault="002351F8" w:rsidP="00FA6B66">
            <w:pPr>
              <w:jc w:val="center"/>
              <w:rPr>
                <w:bCs/>
                <w:sz w:val="20"/>
                <w:szCs w:val="20"/>
              </w:rPr>
            </w:pPr>
            <w:r>
              <w:rPr>
                <w:bCs/>
                <w:sz w:val="20"/>
                <w:szCs w:val="20"/>
              </w:rPr>
              <w:t>22.8258 (174776.9)</w:t>
            </w:r>
          </w:p>
        </w:tc>
        <w:tc>
          <w:tcPr>
            <w:tcW w:w="990" w:type="dxa"/>
          </w:tcPr>
          <w:p w14:paraId="00DAA3C3" w14:textId="543B1A92" w:rsidR="00FA6B66" w:rsidRPr="00540D8E" w:rsidRDefault="002351F8" w:rsidP="00FA6B66">
            <w:pPr>
              <w:jc w:val="center"/>
              <w:rPr>
                <w:bCs/>
                <w:sz w:val="20"/>
                <w:szCs w:val="20"/>
              </w:rPr>
            </w:pPr>
            <w:r>
              <w:rPr>
                <w:bCs/>
                <w:sz w:val="20"/>
                <w:szCs w:val="20"/>
              </w:rPr>
              <w:t>0.00</w:t>
            </w:r>
          </w:p>
        </w:tc>
      </w:tr>
      <w:tr w:rsidR="002929DD" w14:paraId="31B9DE1F" w14:textId="77777777" w:rsidTr="00EB3F3B">
        <w:trPr>
          <w:jc w:val="center"/>
        </w:trPr>
        <w:tc>
          <w:tcPr>
            <w:tcW w:w="1525" w:type="dxa"/>
          </w:tcPr>
          <w:p w14:paraId="3060EE67" w14:textId="678BC7F1" w:rsidR="00FA6B66" w:rsidRPr="005C6F4C" w:rsidRDefault="00FA6B66" w:rsidP="00540D8E">
            <w:pPr>
              <w:rPr>
                <w:sz w:val="20"/>
                <w:szCs w:val="20"/>
              </w:rPr>
            </w:pPr>
            <w:r w:rsidRPr="005C6F4C">
              <w:rPr>
                <w:sz w:val="20"/>
                <w:szCs w:val="20"/>
              </w:rPr>
              <w:t>Germany</w:t>
            </w:r>
          </w:p>
        </w:tc>
        <w:tc>
          <w:tcPr>
            <w:tcW w:w="270" w:type="dxa"/>
          </w:tcPr>
          <w:p w14:paraId="11A6BB24" w14:textId="77777777" w:rsidR="00FA6B66" w:rsidRPr="00540D8E" w:rsidRDefault="00FA6B66" w:rsidP="00FA6B66">
            <w:pPr>
              <w:jc w:val="center"/>
              <w:rPr>
                <w:b/>
                <w:sz w:val="20"/>
                <w:szCs w:val="20"/>
              </w:rPr>
            </w:pPr>
          </w:p>
        </w:tc>
        <w:tc>
          <w:tcPr>
            <w:tcW w:w="1260" w:type="dxa"/>
          </w:tcPr>
          <w:p w14:paraId="1E54C7DE" w14:textId="7CDEB83B" w:rsidR="00FA6B66" w:rsidRPr="00540D8E" w:rsidRDefault="00F55AF8" w:rsidP="00FA6B66">
            <w:pPr>
              <w:jc w:val="center"/>
              <w:rPr>
                <w:bCs/>
                <w:sz w:val="20"/>
                <w:szCs w:val="20"/>
              </w:rPr>
            </w:pPr>
            <w:r w:rsidRPr="00540D8E">
              <w:rPr>
                <w:bCs/>
                <w:sz w:val="20"/>
                <w:szCs w:val="20"/>
              </w:rPr>
              <w:t>2</w:t>
            </w:r>
            <w:r w:rsidR="00274DD4" w:rsidRPr="00540D8E">
              <w:rPr>
                <w:bCs/>
                <w:sz w:val="20"/>
                <w:szCs w:val="20"/>
              </w:rPr>
              <w:t>4</w:t>
            </w:r>
            <w:r w:rsidRPr="00540D8E">
              <w:rPr>
                <w:bCs/>
                <w:sz w:val="20"/>
                <w:szCs w:val="20"/>
              </w:rPr>
              <w:t>.</w:t>
            </w:r>
            <w:r w:rsidR="00274DD4" w:rsidRPr="00540D8E">
              <w:rPr>
                <w:bCs/>
                <w:sz w:val="20"/>
                <w:szCs w:val="20"/>
              </w:rPr>
              <w:t>6676</w:t>
            </w:r>
          </w:p>
          <w:p w14:paraId="4465FFC3" w14:textId="60472C33" w:rsidR="00F55AF8" w:rsidRPr="00540D8E" w:rsidRDefault="00F55AF8" w:rsidP="00FA6B66">
            <w:pPr>
              <w:jc w:val="center"/>
              <w:rPr>
                <w:bCs/>
                <w:sz w:val="20"/>
                <w:szCs w:val="20"/>
              </w:rPr>
            </w:pPr>
            <w:r w:rsidRPr="00540D8E">
              <w:rPr>
                <w:bCs/>
                <w:sz w:val="20"/>
                <w:szCs w:val="20"/>
              </w:rPr>
              <w:t>(160183.1)</w:t>
            </w:r>
          </w:p>
        </w:tc>
        <w:tc>
          <w:tcPr>
            <w:tcW w:w="900" w:type="dxa"/>
          </w:tcPr>
          <w:p w14:paraId="7CCA4527" w14:textId="36D5AC97" w:rsidR="00FA6B66" w:rsidRPr="00540D8E" w:rsidRDefault="00F55AF8" w:rsidP="00FA6B66">
            <w:pPr>
              <w:jc w:val="center"/>
              <w:rPr>
                <w:bCs/>
                <w:sz w:val="20"/>
                <w:szCs w:val="20"/>
              </w:rPr>
            </w:pPr>
            <w:r w:rsidRPr="00540D8E">
              <w:rPr>
                <w:bCs/>
                <w:sz w:val="20"/>
                <w:szCs w:val="20"/>
              </w:rPr>
              <w:t>0.00</w:t>
            </w:r>
          </w:p>
        </w:tc>
        <w:tc>
          <w:tcPr>
            <w:tcW w:w="1260" w:type="dxa"/>
          </w:tcPr>
          <w:p w14:paraId="1811B1B6" w14:textId="4026CBD8" w:rsidR="00FA6B66" w:rsidRPr="00540D8E" w:rsidRDefault="00797914" w:rsidP="00FA6B66">
            <w:pPr>
              <w:jc w:val="center"/>
              <w:rPr>
                <w:bCs/>
                <w:sz w:val="20"/>
                <w:szCs w:val="20"/>
              </w:rPr>
            </w:pPr>
            <w:r w:rsidRPr="00540D8E">
              <w:rPr>
                <w:bCs/>
                <w:sz w:val="20"/>
                <w:szCs w:val="20"/>
              </w:rPr>
              <w:t>-0.1750 (0.4017)</w:t>
            </w:r>
          </w:p>
        </w:tc>
        <w:tc>
          <w:tcPr>
            <w:tcW w:w="900" w:type="dxa"/>
          </w:tcPr>
          <w:p w14:paraId="5B23F792" w14:textId="3A112F32" w:rsidR="00FA6B66" w:rsidRPr="00540D8E" w:rsidRDefault="00797914" w:rsidP="00FA6B66">
            <w:pPr>
              <w:jc w:val="center"/>
              <w:rPr>
                <w:bCs/>
                <w:sz w:val="20"/>
                <w:szCs w:val="20"/>
              </w:rPr>
            </w:pPr>
            <w:r w:rsidRPr="00540D8E">
              <w:rPr>
                <w:bCs/>
                <w:sz w:val="20"/>
                <w:szCs w:val="20"/>
              </w:rPr>
              <w:t>0.19</w:t>
            </w:r>
          </w:p>
        </w:tc>
        <w:tc>
          <w:tcPr>
            <w:tcW w:w="1170" w:type="dxa"/>
          </w:tcPr>
          <w:p w14:paraId="79DB4CBC" w14:textId="2A44A090" w:rsidR="00FA6B66" w:rsidRPr="00540D8E" w:rsidRDefault="00E13506" w:rsidP="00FA6B66">
            <w:pPr>
              <w:jc w:val="center"/>
              <w:rPr>
                <w:bCs/>
                <w:sz w:val="20"/>
                <w:szCs w:val="20"/>
              </w:rPr>
            </w:pPr>
            <w:r w:rsidRPr="00540D8E">
              <w:rPr>
                <w:bCs/>
                <w:sz w:val="20"/>
                <w:szCs w:val="20"/>
              </w:rPr>
              <w:t>-0.1660 (0.4668)</w:t>
            </w:r>
          </w:p>
        </w:tc>
        <w:tc>
          <w:tcPr>
            <w:tcW w:w="900" w:type="dxa"/>
          </w:tcPr>
          <w:p w14:paraId="76712EA2" w14:textId="37611DDC" w:rsidR="00FA6B66" w:rsidRPr="00540D8E" w:rsidRDefault="00E13506" w:rsidP="00FA6B66">
            <w:pPr>
              <w:jc w:val="center"/>
              <w:rPr>
                <w:bCs/>
                <w:sz w:val="20"/>
                <w:szCs w:val="20"/>
              </w:rPr>
            </w:pPr>
            <w:r w:rsidRPr="00540D8E">
              <w:rPr>
                <w:bCs/>
                <w:sz w:val="20"/>
                <w:szCs w:val="20"/>
              </w:rPr>
              <w:t>0.13</w:t>
            </w:r>
          </w:p>
        </w:tc>
        <w:tc>
          <w:tcPr>
            <w:tcW w:w="1170" w:type="dxa"/>
          </w:tcPr>
          <w:p w14:paraId="6D1BBC49" w14:textId="4DBBB029" w:rsidR="00FA6B66" w:rsidRPr="00540D8E" w:rsidRDefault="007455F1" w:rsidP="00FA6B66">
            <w:pPr>
              <w:jc w:val="center"/>
              <w:rPr>
                <w:bCs/>
                <w:sz w:val="20"/>
                <w:szCs w:val="20"/>
              </w:rPr>
            </w:pPr>
            <w:r>
              <w:rPr>
                <w:bCs/>
                <w:sz w:val="20"/>
                <w:szCs w:val="20"/>
              </w:rPr>
              <w:t>0.3503 (0.6142)</w:t>
            </w:r>
          </w:p>
        </w:tc>
        <w:tc>
          <w:tcPr>
            <w:tcW w:w="900" w:type="dxa"/>
          </w:tcPr>
          <w:p w14:paraId="5C131D40" w14:textId="4E373568" w:rsidR="00FA6B66" w:rsidRPr="00540D8E" w:rsidRDefault="009564D7" w:rsidP="00FA6B66">
            <w:pPr>
              <w:jc w:val="center"/>
              <w:rPr>
                <w:bCs/>
                <w:sz w:val="20"/>
                <w:szCs w:val="20"/>
              </w:rPr>
            </w:pPr>
            <w:r>
              <w:rPr>
                <w:bCs/>
                <w:sz w:val="20"/>
                <w:szCs w:val="20"/>
              </w:rPr>
              <w:t>0.33</w:t>
            </w:r>
          </w:p>
        </w:tc>
        <w:tc>
          <w:tcPr>
            <w:tcW w:w="1080" w:type="dxa"/>
          </w:tcPr>
          <w:p w14:paraId="5FCA01B8" w14:textId="77777777" w:rsidR="00FA6B66" w:rsidRDefault="000347DB" w:rsidP="00FA6B66">
            <w:pPr>
              <w:jc w:val="center"/>
              <w:rPr>
                <w:bCs/>
                <w:sz w:val="20"/>
                <w:szCs w:val="20"/>
              </w:rPr>
            </w:pPr>
            <w:r>
              <w:rPr>
                <w:bCs/>
                <w:sz w:val="20"/>
                <w:szCs w:val="20"/>
              </w:rPr>
              <w:t>0.1320</w:t>
            </w:r>
          </w:p>
          <w:p w14:paraId="64560D45" w14:textId="22848754" w:rsidR="000347DB" w:rsidRPr="00540D8E" w:rsidRDefault="000347DB" w:rsidP="00FA6B66">
            <w:pPr>
              <w:jc w:val="center"/>
              <w:rPr>
                <w:bCs/>
                <w:sz w:val="20"/>
                <w:szCs w:val="20"/>
              </w:rPr>
            </w:pPr>
            <w:r>
              <w:rPr>
                <w:bCs/>
                <w:sz w:val="20"/>
                <w:szCs w:val="20"/>
              </w:rPr>
              <w:t>(0.5289)</w:t>
            </w:r>
          </w:p>
        </w:tc>
        <w:tc>
          <w:tcPr>
            <w:tcW w:w="905" w:type="dxa"/>
          </w:tcPr>
          <w:p w14:paraId="2B58A020" w14:textId="6B30A994" w:rsidR="00FA6B66" w:rsidRPr="00540D8E" w:rsidRDefault="000347DB" w:rsidP="00FA6B66">
            <w:pPr>
              <w:jc w:val="center"/>
              <w:rPr>
                <w:bCs/>
                <w:sz w:val="20"/>
                <w:szCs w:val="20"/>
              </w:rPr>
            </w:pPr>
            <w:r>
              <w:rPr>
                <w:bCs/>
                <w:sz w:val="20"/>
                <w:szCs w:val="20"/>
              </w:rPr>
              <w:t>0.06</w:t>
            </w:r>
          </w:p>
        </w:tc>
        <w:tc>
          <w:tcPr>
            <w:tcW w:w="1440" w:type="dxa"/>
          </w:tcPr>
          <w:p w14:paraId="23F57B8C" w14:textId="2335E41D" w:rsidR="00FA6B66" w:rsidRPr="00540D8E" w:rsidRDefault="00C70C44" w:rsidP="00FA6B66">
            <w:pPr>
              <w:jc w:val="center"/>
              <w:rPr>
                <w:bCs/>
                <w:sz w:val="20"/>
                <w:szCs w:val="20"/>
              </w:rPr>
            </w:pPr>
            <w:r>
              <w:rPr>
                <w:bCs/>
                <w:sz w:val="20"/>
                <w:szCs w:val="20"/>
              </w:rPr>
              <w:t>-0.3255 (1.0465)</w:t>
            </w:r>
          </w:p>
        </w:tc>
        <w:tc>
          <w:tcPr>
            <w:tcW w:w="990" w:type="dxa"/>
          </w:tcPr>
          <w:p w14:paraId="679012C0" w14:textId="4889184B" w:rsidR="00FA6B66" w:rsidRPr="00540D8E" w:rsidRDefault="00C70C44" w:rsidP="00FA6B66">
            <w:pPr>
              <w:jc w:val="center"/>
              <w:rPr>
                <w:bCs/>
                <w:sz w:val="20"/>
                <w:szCs w:val="20"/>
              </w:rPr>
            </w:pPr>
            <w:r>
              <w:rPr>
                <w:bCs/>
                <w:sz w:val="20"/>
                <w:szCs w:val="20"/>
              </w:rPr>
              <w:t>0.10</w:t>
            </w:r>
          </w:p>
        </w:tc>
      </w:tr>
      <w:tr w:rsidR="002929DD" w14:paraId="1DE34FB4" w14:textId="77777777" w:rsidTr="00EB3F3B">
        <w:trPr>
          <w:jc w:val="center"/>
        </w:trPr>
        <w:tc>
          <w:tcPr>
            <w:tcW w:w="1525" w:type="dxa"/>
          </w:tcPr>
          <w:p w14:paraId="687A4F0C" w14:textId="3A2A3732" w:rsidR="00FA6B66" w:rsidRPr="005C6F4C" w:rsidRDefault="00FA6B66" w:rsidP="00540D8E">
            <w:pPr>
              <w:rPr>
                <w:sz w:val="20"/>
                <w:szCs w:val="20"/>
              </w:rPr>
            </w:pPr>
            <w:r w:rsidRPr="005C6F4C">
              <w:rPr>
                <w:sz w:val="20"/>
                <w:szCs w:val="20"/>
              </w:rPr>
              <w:t>Japan</w:t>
            </w:r>
          </w:p>
        </w:tc>
        <w:tc>
          <w:tcPr>
            <w:tcW w:w="270" w:type="dxa"/>
          </w:tcPr>
          <w:p w14:paraId="37377872" w14:textId="77777777" w:rsidR="00FA6B66" w:rsidRPr="00540D8E" w:rsidRDefault="00FA6B66" w:rsidP="00FA6B66">
            <w:pPr>
              <w:jc w:val="center"/>
              <w:rPr>
                <w:b/>
                <w:sz w:val="20"/>
                <w:szCs w:val="20"/>
              </w:rPr>
            </w:pPr>
          </w:p>
        </w:tc>
        <w:tc>
          <w:tcPr>
            <w:tcW w:w="1260" w:type="dxa"/>
          </w:tcPr>
          <w:p w14:paraId="198235E5" w14:textId="5AEEBD94" w:rsidR="00FA6B66" w:rsidRPr="00540D8E" w:rsidRDefault="003C5809" w:rsidP="00FA6B66">
            <w:pPr>
              <w:jc w:val="center"/>
              <w:rPr>
                <w:bCs/>
                <w:sz w:val="20"/>
                <w:szCs w:val="20"/>
              </w:rPr>
            </w:pPr>
            <w:r w:rsidRPr="00540D8E">
              <w:rPr>
                <w:bCs/>
                <w:sz w:val="20"/>
                <w:szCs w:val="20"/>
              </w:rPr>
              <w:t>24.4363</w:t>
            </w:r>
          </w:p>
          <w:p w14:paraId="66147545" w14:textId="2817AC3E" w:rsidR="00F55AF8" w:rsidRPr="00540D8E" w:rsidRDefault="00F55AF8" w:rsidP="00FA6B66">
            <w:pPr>
              <w:jc w:val="center"/>
              <w:rPr>
                <w:bCs/>
                <w:sz w:val="20"/>
                <w:szCs w:val="20"/>
              </w:rPr>
            </w:pPr>
            <w:r w:rsidRPr="00540D8E">
              <w:rPr>
                <w:bCs/>
                <w:sz w:val="20"/>
                <w:szCs w:val="20"/>
              </w:rPr>
              <w:t>(</w:t>
            </w:r>
            <w:r w:rsidR="003C5809" w:rsidRPr="00540D8E">
              <w:rPr>
                <w:bCs/>
                <w:sz w:val="20"/>
                <w:szCs w:val="20"/>
              </w:rPr>
              <w:t>121066.5</w:t>
            </w:r>
            <w:r w:rsidRPr="00540D8E">
              <w:rPr>
                <w:bCs/>
                <w:sz w:val="20"/>
                <w:szCs w:val="20"/>
              </w:rPr>
              <w:t>)</w:t>
            </w:r>
          </w:p>
        </w:tc>
        <w:tc>
          <w:tcPr>
            <w:tcW w:w="900" w:type="dxa"/>
          </w:tcPr>
          <w:p w14:paraId="08BBE824" w14:textId="50C1B371" w:rsidR="00FA6B66" w:rsidRPr="00540D8E" w:rsidRDefault="00F55AF8" w:rsidP="00FA6B66">
            <w:pPr>
              <w:jc w:val="center"/>
              <w:rPr>
                <w:bCs/>
                <w:sz w:val="20"/>
                <w:szCs w:val="20"/>
              </w:rPr>
            </w:pPr>
            <w:r w:rsidRPr="00540D8E">
              <w:rPr>
                <w:bCs/>
                <w:sz w:val="20"/>
                <w:szCs w:val="20"/>
              </w:rPr>
              <w:t>0.00</w:t>
            </w:r>
          </w:p>
        </w:tc>
        <w:tc>
          <w:tcPr>
            <w:tcW w:w="1260" w:type="dxa"/>
          </w:tcPr>
          <w:p w14:paraId="39E3B953" w14:textId="3844DC6F" w:rsidR="00FA6B66" w:rsidRPr="00540D8E" w:rsidRDefault="00797914" w:rsidP="00FA6B66">
            <w:pPr>
              <w:jc w:val="center"/>
              <w:rPr>
                <w:bCs/>
                <w:sz w:val="20"/>
                <w:szCs w:val="20"/>
              </w:rPr>
            </w:pPr>
            <w:r w:rsidRPr="00540D8E">
              <w:rPr>
                <w:bCs/>
                <w:sz w:val="20"/>
                <w:szCs w:val="20"/>
              </w:rPr>
              <w:t>-0.0851 (0.4525)</w:t>
            </w:r>
          </w:p>
        </w:tc>
        <w:tc>
          <w:tcPr>
            <w:tcW w:w="900" w:type="dxa"/>
          </w:tcPr>
          <w:p w14:paraId="06C04ABB" w14:textId="78AD9157" w:rsidR="00FA6B66" w:rsidRPr="00540D8E" w:rsidRDefault="00797914" w:rsidP="00FA6B66">
            <w:pPr>
              <w:jc w:val="center"/>
              <w:rPr>
                <w:bCs/>
                <w:sz w:val="20"/>
                <w:szCs w:val="20"/>
              </w:rPr>
            </w:pPr>
            <w:r w:rsidRPr="00540D8E">
              <w:rPr>
                <w:bCs/>
                <w:sz w:val="20"/>
                <w:szCs w:val="20"/>
              </w:rPr>
              <w:t>0.04</w:t>
            </w:r>
          </w:p>
        </w:tc>
        <w:tc>
          <w:tcPr>
            <w:tcW w:w="1170" w:type="dxa"/>
          </w:tcPr>
          <w:p w14:paraId="70497626" w14:textId="759DE6D2" w:rsidR="00FA6B66" w:rsidRPr="00540D8E" w:rsidRDefault="00E13506" w:rsidP="00FA6B66">
            <w:pPr>
              <w:jc w:val="center"/>
              <w:rPr>
                <w:bCs/>
                <w:sz w:val="20"/>
                <w:szCs w:val="20"/>
              </w:rPr>
            </w:pPr>
            <w:r w:rsidRPr="00540D8E">
              <w:rPr>
                <w:bCs/>
                <w:sz w:val="20"/>
                <w:szCs w:val="20"/>
              </w:rPr>
              <w:t>-0.1604 (0.4554)</w:t>
            </w:r>
          </w:p>
        </w:tc>
        <w:tc>
          <w:tcPr>
            <w:tcW w:w="900" w:type="dxa"/>
          </w:tcPr>
          <w:p w14:paraId="5BE082E8" w14:textId="7F9C1F77" w:rsidR="00FA6B66" w:rsidRPr="00540D8E" w:rsidRDefault="00E13506" w:rsidP="00FA6B66">
            <w:pPr>
              <w:jc w:val="center"/>
              <w:rPr>
                <w:bCs/>
                <w:sz w:val="20"/>
                <w:szCs w:val="20"/>
              </w:rPr>
            </w:pPr>
            <w:r w:rsidRPr="00540D8E">
              <w:rPr>
                <w:bCs/>
                <w:sz w:val="20"/>
                <w:szCs w:val="20"/>
              </w:rPr>
              <w:t>0.12</w:t>
            </w:r>
          </w:p>
        </w:tc>
        <w:tc>
          <w:tcPr>
            <w:tcW w:w="1170" w:type="dxa"/>
          </w:tcPr>
          <w:p w14:paraId="4D467735" w14:textId="0907B79D" w:rsidR="00FA6B66" w:rsidRPr="00540D8E" w:rsidRDefault="007455F1" w:rsidP="00FA6B66">
            <w:pPr>
              <w:jc w:val="center"/>
              <w:rPr>
                <w:bCs/>
                <w:sz w:val="20"/>
                <w:szCs w:val="20"/>
              </w:rPr>
            </w:pPr>
            <w:r>
              <w:rPr>
                <w:bCs/>
                <w:sz w:val="20"/>
                <w:szCs w:val="20"/>
              </w:rPr>
              <w:t>0.3219 (0.6856)</w:t>
            </w:r>
          </w:p>
        </w:tc>
        <w:tc>
          <w:tcPr>
            <w:tcW w:w="900" w:type="dxa"/>
          </w:tcPr>
          <w:p w14:paraId="2357F935" w14:textId="22F424EF" w:rsidR="00FA6B66" w:rsidRPr="00540D8E" w:rsidRDefault="009564D7" w:rsidP="00FA6B66">
            <w:pPr>
              <w:jc w:val="center"/>
              <w:rPr>
                <w:bCs/>
                <w:sz w:val="20"/>
                <w:szCs w:val="20"/>
              </w:rPr>
            </w:pPr>
            <w:r>
              <w:rPr>
                <w:bCs/>
                <w:sz w:val="20"/>
                <w:szCs w:val="20"/>
              </w:rPr>
              <w:t>0.22</w:t>
            </w:r>
          </w:p>
        </w:tc>
        <w:tc>
          <w:tcPr>
            <w:tcW w:w="1080" w:type="dxa"/>
          </w:tcPr>
          <w:p w14:paraId="5FB06DDE" w14:textId="77777777" w:rsidR="00FA6B66" w:rsidRDefault="000347DB" w:rsidP="00FA6B66">
            <w:pPr>
              <w:jc w:val="center"/>
              <w:rPr>
                <w:bCs/>
                <w:sz w:val="20"/>
                <w:szCs w:val="20"/>
              </w:rPr>
            </w:pPr>
            <w:r>
              <w:rPr>
                <w:bCs/>
                <w:sz w:val="20"/>
                <w:szCs w:val="20"/>
              </w:rPr>
              <w:t>0.1638</w:t>
            </w:r>
          </w:p>
          <w:p w14:paraId="01002EA4" w14:textId="4904C680" w:rsidR="000347DB" w:rsidRPr="00540D8E" w:rsidRDefault="000347DB" w:rsidP="00FA6B66">
            <w:pPr>
              <w:jc w:val="center"/>
              <w:rPr>
                <w:bCs/>
                <w:sz w:val="20"/>
                <w:szCs w:val="20"/>
              </w:rPr>
            </w:pPr>
            <w:r>
              <w:rPr>
                <w:bCs/>
                <w:sz w:val="20"/>
                <w:szCs w:val="20"/>
              </w:rPr>
              <w:t>(0.5553)</w:t>
            </w:r>
          </w:p>
        </w:tc>
        <w:tc>
          <w:tcPr>
            <w:tcW w:w="905" w:type="dxa"/>
          </w:tcPr>
          <w:p w14:paraId="62937C3E" w14:textId="1E3876A7" w:rsidR="00FA6B66" w:rsidRPr="00540D8E" w:rsidRDefault="000347DB" w:rsidP="00FA6B66">
            <w:pPr>
              <w:jc w:val="center"/>
              <w:rPr>
                <w:bCs/>
                <w:sz w:val="20"/>
                <w:szCs w:val="20"/>
              </w:rPr>
            </w:pPr>
            <w:r>
              <w:rPr>
                <w:bCs/>
                <w:sz w:val="20"/>
                <w:szCs w:val="20"/>
              </w:rPr>
              <w:t>0.09</w:t>
            </w:r>
          </w:p>
        </w:tc>
        <w:tc>
          <w:tcPr>
            <w:tcW w:w="1440" w:type="dxa"/>
          </w:tcPr>
          <w:p w14:paraId="34238D7E" w14:textId="1627F66D" w:rsidR="00FA6B66" w:rsidRPr="00540D8E" w:rsidRDefault="00C70C44" w:rsidP="00FA6B66">
            <w:pPr>
              <w:jc w:val="center"/>
              <w:rPr>
                <w:bCs/>
                <w:sz w:val="20"/>
                <w:szCs w:val="20"/>
              </w:rPr>
            </w:pPr>
            <w:r>
              <w:rPr>
                <w:bCs/>
                <w:sz w:val="20"/>
                <w:szCs w:val="20"/>
              </w:rPr>
              <w:t>-0.1745 (1.0507)</w:t>
            </w:r>
          </w:p>
        </w:tc>
        <w:tc>
          <w:tcPr>
            <w:tcW w:w="990" w:type="dxa"/>
          </w:tcPr>
          <w:p w14:paraId="439A6823" w14:textId="0177BFE2" w:rsidR="00FA6B66" w:rsidRPr="00540D8E" w:rsidRDefault="00C70C44" w:rsidP="00FA6B66">
            <w:pPr>
              <w:jc w:val="center"/>
              <w:rPr>
                <w:bCs/>
                <w:sz w:val="20"/>
                <w:szCs w:val="20"/>
              </w:rPr>
            </w:pPr>
            <w:r>
              <w:rPr>
                <w:bCs/>
                <w:sz w:val="20"/>
                <w:szCs w:val="20"/>
              </w:rPr>
              <w:t>0.03</w:t>
            </w:r>
          </w:p>
        </w:tc>
      </w:tr>
      <w:tr w:rsidR="002929DD" w14:paraId="36BDD2E0" w14:textId="77777777" w:rsidTr="00EB3F3B">
        <w:trPr>
          <w:jc w:val="center"/>
        </w:trPr>
        <w:tc>
          <w:tcPr>
            <w:tcW w:w="1525" w:type="dxa"/>
          </w:tcPr>
          <w:p w14:paraId="2D4B5573" w14:textId="627997E7" w:rsidR="00FA6B66" w:rsidRPr="005C6F4C" w:rsidRDefault="00FA6B66" w:rsidP="00540D8E">
            <w:pPr>
              <w:rPr>
                <w:sz w:val="20"/>
                <w:szCs w:val="20"/>
              </w:rPr>
            </w:pPr>
            <w:r w:rsidRPr="005C6F4C">
              <w:rPr>
                <w:sz w:val="20"/>
                <w:szCs w:val="20"/>
              </w:rPr>
              <w:t>Korea</w:t>
            </w:r>
          </w:p>
        </w:tc>
        <w:tc>
          <w:tcPr>
            <w:tcW w:w="270" w:type="dxa"/>
          </w:tcPr>
          <w:p w14:paraId="3E19E04A" w14:textId="77777777" w:rsidR="00FA6B66" w:rsidRPr="00540D8E" w:rsidRDefault="00FA6B66" w:rsidP="00FA6B66">
            <w:pPr>
              <w:jc w:val="center"/>
              <w:rPr>
                <w:b/>
                <w:sz w:val="20"/>
                <w:szCs w:val="20"/>
              </w:rPr>
            </w:pPr>
          </w:p>
        </w:tc>
        <w:tc>
          <w:tcPr>
            <w:tcW w:w="1260" w:type="dxa"/>
          </w:tcPr>
          <w:p w14:paraId="5E0C8C57" w14:textId="08117D01" w:rsidR="00FA6B66" w:rsidRPr="00540D8E" w:rsidRDefault="00F55AF8" w:rsidP="00FA6B66">
            <w:pPr>
              <w:jc w:val="center"/>
              <w:rPr>
                <w:bCs/>
                <w:sz w:val="20"/>
                <w:szCs w:val="20"/>
              </w:rPr>
            </w:pPr>
            <w:r w:rsidRPr="00540D8E">
              <w:rPr>
                <w:bCs/>
                <w:sz w:val="20"/>
                <w:szCs w:val="20"/>
              </w:rPr>
              <w:t>2</w:t>
            </w:r>
            <w:r w:rsidR="003C5809" w:rsidRPr="00540D8E">
              <w:rPr>
                <w:bCs/>
                <w:sz w:val="20"/>
                <w:szCs w:val="20"/>
              </w:rPr>
              <w:t>5</w:t>
            </w:r>
            <w:r w:rsidRPr="00540D8E">
              <w:rPr>
                <w:bCs/>
                <w:sz w:val="20"/>
                <w:szCs w:val="20"/>
              </w:rPr>
              <w:t>.</w:t>
            </w:r>
            <w:r w:rsidR="003C5809" w:rsidRPr="00540D8E">
              <w:rPr>
                <w:bCs/>
                <w:sz w:val="20"/>
                <w:szCs w:val="20"/>
              </w:rPr>
              <w:t>0346</w:t>
            </w:r>
          </w:p>
          <w:p w14:paraId="01BE439D" w14:textId="52AED457" w:rsidR="00F55AF8" w:rsidRPr="00540D8E" w:rsidRDefault="00F55AF8" w:rsidP="00FA6B66">
            <w:pPr>
              <w:jc w:val="center"/>
              <w:rPr>
                <w:bCs/>
                <w:sz w:val="20"/>
                <w:szCs w:val="20"/>
              </w:rPr>
            </w:pPr>
            <w:r w:rsidRPr="00540D8E">
              <w:rPr>
                <w:bCs/>
                <w:sz w:val="20"/>
                <w:szCs w:val="20"/>
              </w:rPr>
              <w:t>(2</w:t>
            </w:r>
            <w:r w:rsidR="003C5809" w:rsidRPr="00540D8E">
              <w:rPr>
                <w:bCs/>
                <w:sz w:val="20"/>
                <w:szCs w:val="20"/>
              </w:rPr>
              <w:t>50657/6</w:t>
            </w:r>
            <w:r w:rsidRPr="00540D8E">
              <w:rPr>
                <w:bCs/>
                <w:sz w:val="20"/>
                <w:szCs w:val="20"/>
              </w:rPr>
              <w:t>)</w:t>
            </w:r>
          </w:p>
        </w:tc>
        <w:tc>
          <w:tcPr>
            <w:tcW w:w="900" w:type="dxa"/>
          </w:tcPr>
          <w:p w14:paraId="4DB43DA8" w14:textId="78F35B24" w:rsidR="00FA6B66" w:rsidRPr="00540D8E" w:rsidRDefault="00F55AF8" w:rsidP="00FA6B66">
            <w:pPr>
              <w:jc w:val="center"/>
              <w:rPr>
                <w:bCs/>
                <w:sz w:val="20"/>
                <w:szCs w:val="20"/>
              </w:rPr>
            </w:pPr>
            <w:r w:rsidRPr="00540D8E">
              <w:rPr>
                <w:bCs/>
                <w:sz w:val="20"/>
                <w:szCs w:val="20"/>
              </w:rPr>
              <w:t>0.00</w:t>
            </w:r>
          </w:p>
        </w:tc>
        <w:tc>
          <w:tcPr>
            <w:tcW w:w="1260" w:type="dxa"/>
          </w:tcPr>
          <w:p w14:paraId="7B349182" w14:textId="162BA6D3" w:rsidR="00FA6B66" w:rsidRPr="00540D8E" w:rsidRDefault="00384AB0" w:rsidP="00FA6B66">
            <w:pPr>
              <w:jc w:val="center"/>
              <w:rPr>
                <w:bCs/>
                <w:sz w:val="20"/>
                <w:szCs w:val="20"/>
              </w:rPr>
            </w:pPr>
            <w:r w:rsidRPr="00540D8E">
              <w:rPr>
                <w:bCs/>
                <w:sz w:val="20"/>
                <w:szCs w:val="20"/>
              </w:rPr>
              <w:t>-0.3839 (0.7363)</w:t>
            </w:r>
          </w:p>
        </w:tc>
        <w:tc>
          <w:tcPr>
            <w:tcW w:w="900" w:type="dxa"/>
          </w:tcPr>
          <w:p w14:paraId="7C1412AB" w14:textId="740CE422" w:rsidR="00FA6B66" w:rsidRPr="00540D8E" w:rsidRDefault="00384AB0" w:rsidP="00FA6B66">
            <w:pPr>
              <w:jc w:val="center"/>
              <w:rPr>
                <w:bCs/>
                <w:sz w:val="20"/>
                <w:szCs w:val="20"/>
              </w:rPr>
            </w:pPr>
            <w:r w:rsidRPr="00540D8E">
              <w:rPr>
                <w:bCs/>
                <w:sz w:val="20"/>
                <w:szCs w:val="20"/>
              </w:rPr>
              <w:t>0.27</w:t>
            </w:r>
          </w:p>
        </w:tc>
        <w:tc>
          <w:tcPr>
            <w:tcW w:w="1170" w:type="dxa"/>
          </w:tcPr>
          <w:p w14:paraId="2ABF2044" w14:textId="0875C87E" w:rsidR="00FA6B66" w:rsidRPr="00540D8E" w:rsidRDefault="00E13506" w:rsidP="00FA6B66">
            <w:pPr>
              <w:jc w:val="center"/>
              <w:rPr>
                <w:bCs/>
                <w:sz w:val="20"/>
                <w:szCs w:val="20"/>
              </w:rPr>
            </w:pPr>
            <w:r w:rsidRPr="00540D8E">
              <w:rPr>
                <w:bCs/>
                <w:sz w:val="20"/>
                <w:szCs w:val="20"/>
              </w:rPr>
              <w:t>-0.5256 (0.7773)</w:t>
            </w:r>
          </w:p>
        </w:tc>
        <w:tc>
          <w:tcPr>
            <w:tcW w:w="900" w:type="dxa"/>
          </w:tcPr>
          <w:p w14:paraId="6FA45CD3" w14:textId="620DF5E1" w:rsidR="00FA6B66" w:rsidRPr="00540D8E" w:rsidRDefault="00E13506" w:rsidP="00FA6B66">
            <w:pPr>
              <w:jc w:val="center"/>
              <w:rPr>
                <w:bCs/>
                <w:sz w:val="20"/>
                <w:szCs w:val="20"/>
              </w:rPr>
            </w:pPr>
            <w:r w:rsidRPr="00540D8E">
              <w:rPr>
                <w:bCs/>
                <w:sz w:val="20"/>
                <w:szCs w:val="20"/>
              </w:rPr>
              <w:t>0.46</w:t>
            </w:r>
          </w:p>
        </w:tc>
        <w:tc>
          <w:tcPr>
            <w:tcW w:w="1170" w:type="dxa"/>
          </w:tcPr>
          <w:p w14:paraId="462BA7F6" w14:textId="77777777" w:rsidR="00FA6B66" w:rsidRDefault="007455F1" w:rsidP="00FA6B66">
            <w:pPr>
              <w:jc w:val="center"/>
              <w:rPr>
                <w:bCs/>
                <w:sz w:val="20"/>
                <w:szCs w:val="20"/>
              </w:rPr>
            </w:pPr>
            <w:r>
              <w:rPr>
                <w:bCs/>
                <w:sz w:val="20"/>
                <w:szCs w:val="20"/>
              </w:rPr>
              <w:t>-0.0687</w:t>
            </w:r>
          </w:p>
          <w:p w14:paraId="01459AD0" w14:textId="3C98DF7E" w:rsidR="007455F1" w:rsidRPr="00540D8E" w:rsidRDefault="007455F1" w:rsidP="00FA6B66">
            <w:pPr>
              <w:jc w:val="center"/>
              <w:rPr>
                <w:bCs/>
                <w:sz w:val="20"/>
                <w:szCs w:val="20"/>
              </w:rPr>
            </w:pPr>
            <w:r>
              <w:rPr>
                <w:bCs/>
                <w:sz w:val="20"/>
                <w:szCs w:val="20"/>
              </w:rPr>
              <w:t>(1.6051)</w:t>
            </w:r>
          </w:p>
        </w:tc>
        <w:tc>
          <w:tcPr>
            <w:tcW w:w="900" w:type="dxa"/>
          </w:tcPr>
          <w:p w14:paraId="6650C353" w14:textId="0AB9AEE5" w:rsidR="00FA6B66" w:rsidRPr="00540D8E" w:rsidRDefault="009564D7" w:rsidP="00FA6B66">
            <w:pPr>
              <w:jc w:val="center"/>
              <w:rPr>
                <w:bCs/>
                <w:sz w:val="20"/>
                <w:szCs w:val="20"/>
              </w:rPr>
            </w:pPr>
            <w:r>
              <w:rPr>
                <w:bCs/>
                <w:sz w:val="20"/>
                <w:szCs w:val="20"/>
              </w:rPr>
              <w:t>0.00</w:t>
            </w:r>
          </w:p>
        </w:tc>
        <w:tc>
          <w:tcPr>
            <w:tcW w:w="1080" w:type="dxa"/>
          </w:tcPr>
          <w:p w14:paraId="436235F9" w14:textId="385FD4A7" w:rsidR="00FA6B66" w:rsidRPr="00540D8E" w:rsidRDefault="000347DB" w:rsidP="00FA6B66">
            <w:pPr>
              <w:jc w:val="center"/>
              <w:rPr>
                <w:bCs/>
                <w:sz w:val="20"/>
                <w:szCs w:val="20"/>
              </w:rPr>
            </w:pPr>
            <w:r>
              <w:rPr>
                <w:bCs/>
                <w:sz w:val="20"/>
                <w:szCs w:val="20"/>
              </w:rPr>
              <w:t>-0.6333 (1.0503)</w:t>
            </w:r>
          </w:p>
        </w:tc>
        <w:tc>
          <w:tcPr>
            <w:tcW w:w="905" w:type="dxa"/>
          </w:tcPr>
          <w:p w14:paraId="08D61CF4" w14:textId="655D9150" w:rsidR="00FA6B66" w:rsidRPr="00540D8E" w:rsidRDefault="000347DB" w:rsidP="00FA6B66">
            <w:pPr>
              <w:jc w:val="center"/>
              <w:rPr>
                <w:bCs/>
                <w:sz w:val="20"/>
                <w:szCs w:val="20"/>
              </w:rPr>
            </w:pPr>
            <w:r>
              <w:rPr>
                <w:bCs/>
                <w:sz w:val="20"/>
                <w:szCs w:val="20"/>
              </w:rPr>
              <w:t>0.36</w:t>
            </w:r>
          </w:p>
        </w:tc>
        <w:tc>
          <w:tcPr>
            <w:tcW w:w="1440" w:type="dxa"/>
          </w:tcPr>
          <w:p w14:paraId="09AD0809" w14:textId="4EA7C533" w:rsidR="00FA6B66" w:rsidRPr="00540D8E" w:rsidRDefault="00C70C44" w:rsidP="00FA6B66">
            <w:pPr>
              <w:jc w:val="center"/>
              <w:rPr>
                <w:bCs/>
                <w:sz w:val="20"/>
                <w:szCs w:val="20"/>
              </w:rPr>
            </w:pPr>
            <w:r>
              <w:rPr>
                <w:bCs/>
                <w:sz w:val="20"/>
                <w:szCs w:val="20"/>
              </w:rPr>
              <w:t>-0.5131 (1.4834)</w:t>
            </w:r>
          </w:p>
        </w:tc>
        <w:tc>
          <w:tcPr>
            <w:tcW w:w="990" w:type="dxa"/>
          </w:tcPr>
          <w:p w14:paraId="4C764BAE" w14:textId="33A9F8EF" w:rsidR="00FA6B66" w:rsidRPr="00540D8E" w:rsidRDefault="00C70C44" w:rsidP="00FA6B66">
            <w:pPr>
              <w:jc w:val="center"/>
              <w:rPr>
                <w:bCs/>
                <w:sz w:val="20"/>
                <w:szCs w:val="20"/>
              </w:rPr>
            </w:pPr>
            <w:r>
              <w:rPr>
                <w:bCs/>
                <w:sz w:val="20"/>
                <w:szCs w:val="20"/>
              </w:rPr>
              <w:t>0.12</w:t>
            </w:r>
          </w:p>
        </w:tc>
      </w:tr>
      <w:tr w:rsidR="002929DD" w14:paraId="2B6DD47A" w14:textId="77777777" w:rsidTr="00EB3F3B">
        <w:trPr>
          <w:jc w:val="center"/>
        </w:trPr>
        <w:tc>
          <w:tcPr>
            <w:tcW w:w="1525" w:type="dxa"/>
          </w:tcPr>
          <w:p w14:paraId="79426EED" w14:textId="630DEC54" w:rsidR="00FA6B66" w:rsidRPr="005C6F4C" w:rsidRDefault="00FA6B66" w:rsidP="00540D8E">
            <w:pPr>
              <w:rPr>
                <w:sz w:val="20"/>
                <w:szCs w:val="20"/>
              </w:rPr>
            </w:pPr>
            <w:r w:rsidRPr="005C6F4C">
              <w:rPr>
                <w:sz w:val="20"/>
                <w:szCs w:val="20"/>
              </w:rPr>
              <w:t>USA</w:t>
            </w:r>
          </w:p>
        </w:tc>
        <w:tc>
          <w:tcPr>
            <w:tcW w:w="270" w:type="dxa"/>
          </w:tcPr>
          <w:p w14:paraId="04A67C07" w14:textId="77777777" w:rsidR="00FA6B66" w:rsidRPr="00540D8E" w:rsidRDefault="00FA6B66" w:rsidP="00FA6B66">
            <w:pPr>
              <w:jc w:val="center"/>
              <w:rPr>
                <w:b/>
                <w:sz w:val="20"/>
                <w:szCs w:val="20"/>
              </w:rPr>
            </w:pPr>
          </w:p>
        </w:tc>
        <w:tc>
          <w:tcPr>
            <w:tcW w:w="1260" w:type="dxa"/>
          </w:tcPr>
          <w:p w14:paraId="01F0CAD3" w14:textId="57680D43" w:rsidR="00FA6B66" w:rsidRPr="00540D8E" w:rsidRDefault="00F55AF8" w:rsidP="00FA6B66">
            <w:pPr>
              <w:jc w:val="center"/>
              <w:rPr>
                <w:bCs/>
                <w:sz w:val="20"/>
                <w:szCs w:val="20"/>
              </w:rPr>
            </w:pPr>
            <w:r w:rsidRPr="00540D8E">
              <w:rPr>
                <w:bCs/>
                <w:sz w:val="20"/>
                <w:szCs w:val="20"/>
              </w:rPr>
              <w:t>2</w:t>
            </w:r>
            <w:r w:rsidR="003C5809" w:rsidRPr="00540D8E">
              <w:rPr>
                <w:bCs/>
                <w:sz w:val="20"/>
                <w:szCs w:val="20"/>
              </w:rPr>
              <w:t>4.4690</w:t>
            </w:r>
            <w:r w:rsidRPr="00540D8E">
              <w:rPr>
                <w:bCs/>
                <w:sz w:val="20"/>
                <w:szCs w:val="20"/>
              </w:rPr>
              <w:t xml:space="preserve"> (1</w:t>
            </w:r>
            <w:r w:rsidR="003C5809" w:rsidRPr="00540D8E">
              <w:rPr>
                <w:bCs/>
                <w:sz w:val="20"/>
                <w:szCs w:val="20"/>
              </w:rPr>
              <w:t>40751.6</w:t>
            </w:r>
            <w:r w:rsidRPr="00540D8E">
              <w:rPr>
                <w:bCs/>
                <w:sz w:val="20"/>
                <w:szCs w:val="20"/>
              </w:rPr>
              <w:t>)</w:t>
            </w:r>
          </w:p>
        </w:tc>
        <w:tc>
          <w:tcPr>
            <w:tcW w:w="900" w:type="dxa"/>
          </w:tcPr>
          <w:p w14:paraId="315E677B" w14:textId="68D8EF47" w:rsidR="00FA6B66" w:rsidRPr="00540D8E" w:rsidRDefault="00F55AF8" w:rsidP="00FA6B66">
            <w:pPr>
              <w:jc w:val="center"/>
              <w:rPr>
                <w:bCs/>
                <w:sz w:val="20"/>
                <w:szCs w:val="20"/>
              </w:rPr>
            </w:pPr>
            <w:r w:rsidRPr="00540D8E">
              <w:rPr>
                <w:bCs/>
                <w:sz w:val="20"/>
                <w:szCs w:val="20"/>
              </w:rPr>
              <w:t>0.00</w:t>
            </w:r>
          </w:p>
        </w:tc>
        <w:tc>
          <w:tcPr>
            <w:tcW w:w="1260" w:type="dxa"/>
          </w:tcPr>
          <w:p w14:paraId="0DA1AF90" w14:textId="0EB08A76" w:rsidR="00FA6B66" w:rsidRPr="00540D8E" w:rsidRDefault="00384AB0" w:rsidP="00FA6B66">
            <w:pPr>
              <w:jc w:val="center"/>
              <w:rPr>
                <w:bCs/>
                <w:sz w:val="20"/>
                <w:szCs w:val="20"/>
              </w:rPr>
            </w:pPr>
            <w:r w:rsidRPr="00540D8E">
              <w:rPr>
                <w:bCs/>
                <w:sz w:val="20"/>
                <w:szCs w:val="20"/>
              </w:rPr>
              <w:t>-0.2664 (0.5024)</w:t>
            </w:r>
          </w:p>
        </w:tc>
        <w:tc>
          <w:tcPr>
            <w:tcW w:w="900" w:type="dxa"/>
          </w:tcPr>
          <w:p w14:paraId="5FBF5A62" w14:textId="6787501E" w:rsidR="00FA6B66" w:rsidRPr="00540D8E" w:rsidRDefault="00384AB0" w:rsidP="00FA6B66">
            <w:pPr>
              <w:jc w:val="center"/>
              <w:rPr>
                <w:bCs/>
                <w:sz w:val="20"/>
                <w:szCs w:val="20"/>
              </w:rPr>
            </w:pPr>
            <w:r w:rsidRPr="00540D8E">
              <w:rPr>
                <w:bCs/>
                <w:sz w:val="20"/>
                <w:szCs w:val="20"/>
              </w:rPr>
              <w:t>0.28</w:t>
            </w:r>
          </w:p>
        </w:tc>
        <w:tc>
          <w:tcPr>
            <w:tcW w:w="1170" w:type="dxa"/>
          </w:tcPr>
          <w:p w14:paraId="0ED8CF8E" w14:textId="5FD83079" w:rsidR="00FA6B66" w:rsidRPr="00540D8E" w:rsidRDefault="00E13506" w:rsidP="00FA6B66">
            <w:pPr>
              <w:jc w:val="center"/>
              <w:rPr>
                <w:bCs/>
                <w:sz w:val="20"/>
                <w:szCs w:val="20"/>
              </w:rPr>
            </w:pPr>
            <w:r w:rsidRPr="00540D8E">
              <w:rPr>
                <w:bCs/>
                <w:sz w:val="20"/>
                <w:szCs w:val="20"/>
              </w:rPr>
              <w:t>-0.3494 (0.5139)</w:t>
            </w:r>
          </w:p>
        </w:tc>
        <w:tc>
          <w:tcPr>
            <w:tcW w:w="900" w:type="dxa"/>
          </w:tcPr>
          <w:p w14:paraId="3D8488AB" w14:textId="6E14C3FE" w:rsidR="00FA6B66" w:rsidRPr="00540D8E" w:rsidRDefault="00E13506" w:rsidP="00FA6B66">
            <w:pPr>
              <w:jc w:val="center"/>
              <w:rPr>
                <w:bCs/>
                <w:sz w:val="20"/>
                <w:szCs w:val="20"/>
              </w:rPr>
            </w:pPr>
            <w:r w:rsidRPr="00540D8E">
              <w:rPr>
                <w:bCs/>
                <w:sz w:val="20"/>
                <w:szCs w:val="20"/>
              </w:rPr>
              <w:t>0.46</w:t>
            </w:r>
          </w:p>
        </w:tc>
        <w:tc>
          <w:tcPr>
            <w:tcW w:w="1170" w:type="dxa"/>
          </w:tcPr>
          <w:p w14:paraId="2E9F3375" w14:textId="0F8A08E9" w:rsidR="00FA6B66" w:rsidRPr="00540D8E" w:rsidRDefault="00FA6B66" w:rsidP="00FA6B66">
            <w:pPr>
              <w:jc w:val="center"/>
              <w:rPr>
                <w:bCs/>
                <w:sz w:val="20"/>
                <w:szCs w:val="20"/>
              </w:rPr>
            </w:pPr>
          </w:p>
        </w:tc>
        <w:tc>
          <w:tcPr>
            <w:tcW w:w="900" w:type="dxa"/>
          </w:tcPr>
          <w:p w14:paraId="2C85E42D" w14:textId="77777777" w:rsidR="00FA6B66" w:rsidRPr="00540D8E" w:rsidRDefault="00FA6B66" w:rsidP="00FA6B66">
            <w:pPr>
              <w:jc w:val="center"/>
              <w:rPr>
                <w:bCs/>
                <w:sz w:val="20"/>
                <w:szCs w:val="20"/>
              </w:rPr>
            </w:pPr>
          </w:p>
        </w:tc>
        <w:tc>
          <w:tcPr>
            <w:tcW w:w="1080" w:type="dxa"/>
          </w:tcPr>
          <w:p w14:paraId="278F4F91" w14:textId="77777777" w:rsidR="00FA6B66" w:rsidRPr="00540D8E" w:rsidRDefault="00FA6B66" w:rsidP="00FA6B66">
            <w:pPr>
              <w:jc w:val="center"/>
              <w:rPr>
                <w:bCs/>
                <w:sz w:val="20"/>
                <w:szCs w:val="20"/>
              </w:rPr>
            </w:pPr>
          </w:p>
        </w:tc>
        <w:tc>
          <w:tcPr>
            <w:tcW w:w="905" w:type="dxa"/>
          </w:tcPr>
          <w:p w14:paraId="33F0B3E6" w14:textId="77777777" w:rsidR="00FA6B66" w:rsidRPr="00540D8E" w:rsidRDefault="00FA6B66" w:rsidP="00FA6B66">
            <w:pPr>
              <w:jc w:val="center"/>
              <w:rPr>
                <w:bCs/>
                <w:sz w:val="20"/>
                <w:szCs w:val="20"/>
              </w:rPr>
            </w:pPr>
          </w:p>
        </w:tc>
        <w:tc>
          <w:tcPr>
            <w:tcW w:w="1440" w:type="dxa"/>
          </w:tcPr>
          <w:p w14:paraId="54A9B6BD" w14:textId="77777777" w:rsidR="00FA6B66" w:rsidRPr="00540D8E" w:rsidRDefault="00FA6B66" w:rsidP="00FA6B66">
            <w:pPr>
              <w:jc w:val="center"/>
              <w:rPr>
                <w:bCs/>
                <w:sz w:val="20"/>
                <w:szCs w:val="20"/>
              </w:rPr>
            </w:pPr>
          </w:p>
        </w:tc>
        <w:tc>
          <w:tcPr>
            <w:tcW w:w="990" w:type="dxa"/>
          </w:tcPr>
          <w:p w14:paraId="10F473AB" w14:textId="77777777" w:rsidR="00FA6B66" w:rsidRPr="00540D8E" w:rsidRDefault="00FA6B66" w:rsidP="00FA6B66">
            <w:pPr>
              <w:jc w:val="center"/>
              <w:rPr>
                <w:bCs/>
                <w:sz w:val="20"/>
                <w:szCs w:val="20"/>
              </w:rPr>
            </w:pPr>
          </w:p>
        </w:tc>
      </w:tr>
      <w:tr w:rsidR="002929DD" w14:paraId="445243E7" w14:textId="77777777" w:rsidTr="00DC3F75">
        <w:trPr>
          <w:jc w:val="center"/>
        </w:trPr>
        <w:tc>
          <w:tcPr>
            <w:tcW w:w="1525" w:type="dxa"/>
          </w:tcPr>
          <w:p w14:paraId="32CDE535" w14:textId="5B94AEA3" w:rsidR="00FA6B66" w:rsidRPr="005C6F4C" w:rsidRDefault="00FA6B66" w:rsidP="00FA6B66">
            <w:pPr>
              <w:rPr>
                <w:sz w:val="20"/>
                <w:szCs w:val="20"/>
              </w:rPr>
            </w:pPr>
            <w:r w:rsidRPr="005C6F4C">
              <w:rPr>
                <w:sz w:val="20"/>
                <w:szCs w:val="20"/>
              </w:rPr>
              <w:t>-2LL</w:t>
            </w:r>
          </w:p>
        </w:tc>
        <w:tc>
          <w:tcPr>
            <w:tcW w:w="270" w:type="dxa"/>
          </w:tcPr>
          <w:p w14:paraId="1FDEE6F7" w14:textId="77777777" w:rsidR="00FA6B66" w:rsidRPr="00540D8E" w:rsidRDefault="00FA6B66" w:rsidP="00FA6B66">
            <w:pPr>
              <w:jc w:val="center"/>
              <w:rPr>
                <w:b/>
                <w:sz w:val="20"/>
                <w:szCs w:val="20"/>
              </w:rPr>
            </w:pPr>
          </w:p>
        </w:tc>
        <w:tc>
          <w:tcPr>
            <w:tcW w:w="1260" w:type="dxa"/>
          </w:tcPr>
          <w:p w14:paraId="454F5ADC" w14:textId="36DB5FB3" w:rsidR="00FA6B66" w:rsidRPr="00540D8E" w:rsidRDefault="001B1D07" w:rsidP="00FA6B66">
            <w:pPr>
              <w:jc w:val="center"/>
              <w:rPr>
                <w:bCs/>
                <w:sz w:val="20"/>
                <w:szCs w:val="20"/>
              </w:rPr>
            </w:pPr>
            <w:r w:rsidRPr="00540D8E">
              <w:rPr>
                <w:bCs/>
                <w:sz w:val="20"/>
                <w:szCs w:val="20"/>
              </w:rPr>
              <w:t>144</w:t>
            </w:r>
            <w:r w:rsidR="003C5809" w:rsidRPr="00540D8E">
              <w:rPr>
                <w:bCs/>
                <w:sz w:val="20"/>
                <w:szCs w:val="20"/>
              </w:rPr>
              <w:t>1.740</w:t>
            </w:r>
          </w:p>
        </w:tc>
        <w:tc>
          <w:tcPr>
            <w:tcW w:w="900" w:type="dxa"/>
          </w:tcPr>
          <w:p w14:paraId="66EDBDA5" w14:textId="0E1DB65E" w:rsidR="00FA6B66" w:rsidRPr="00540D8E" w:rsidRDefault="00FA6B66" w:rsidP="00FA6B66">
            <w:pPr>
              <w:jc w:val="center"/>
              <w:rPr>
                <w:bCs/>
                <w:sz w:val="20"/>
                <w:szCs w:val="20"/>
              </w:rPr>
            </w:pPr>
          </w:p>
        </w:tc>
        <w:tc>
          <w:tcPr>
            <w:tcW w:w="1260" w:type="dxa"/>
          </w:tcPr>
          <w:p w14:paraId="105D8E8E" w14:textId="4A9EB332" w:rsidR="00FA6B66" w:rsidRPr="00540D8E" w:rsidRDefault="00384AB0" w:rsidP="00FA6B66">
            <w:pPr>
              <w:jc w:val="center"/>
              <w:rPr>
                <w:bCs/>
                <w:sz w:val="20"/>
                <w:szCs w:val="20"/>
              </w:rPr>
            </w:pPr>
            <w:r w:rsidRPr="00540D8E">
              <w:rPr>
                <w:bCs/>
                <w:sz w:val="20"/>
                <w:szCs w:val="20"/>
              </w:rPr>
              <w:t>852.954</w:t>
            </w:r>
          </w:p>
        </w:tc>
        <w:tc>
          <w:tcPr>
            <w:tcW w:w="900" w:type="dxa"/>
          </w:tcPr>
          <w:p w14:paraId="23FBC606" w14:textId="77777777" w:rsidR="00FA6B66" w:rsidRPr="00540D8E" w:rsidRDefault="00FA6B66" w:rsidP="00FA6B66">
            <w:pPr>
              <w:jc w:val="center"/>
              <w:rPr>
                <w:bCs/>
                <w:sz w:val="20"/>
                <w:szCs w:val="20"/>
              </w:rPr>
            </w:pPr>
          </w:p>
        </w:tc>
        <w:tc>
          <w:tcPr>
            <w:tcW w:w="1170" w:type="dxa"/>
          </w:tcPr>
          <w:p w14:paraId="70328EE3" w14:textId="5F6749B2" w:rsidR="00FA6B66" w:rsidRPr="00540D8E" w:rsidRDefault="00E13506" w:rsidP="00FA6B66">
            <w:pPr>
              <w:jc w:val="center"/>
              <w:rPr>
                <w:bCs/>
                <w:sz w:val="20"/>
                <w:szCs w:val="20"/>
              </w:rPr>
            </w:pPr>
            <w:r w:rsidRPr="00540D8E">
              <w:rPr>
                <w:bCs/>
                <w:sz w:val="20"/>
                <w:szCs w:val="20"/>
              </w:rPr>
              <w:t>142.717</w:t>
            </w:r>
          </w:p>
        </w:tc>
        <w:tc>
          <w:tcPr>
            <w:tcW w:w="900" w:type="dxa"/>
          </w:tcPr>
          <w:p w14:paraId="4B61CE7F" w14:textId="77777777" w:rsidR="00FA6B66" w:rsidRPr="00540D8E" w:rsidRDefault="00FA6B66" w:rsidP="00FA6B66">
            <w:pPr>
              <w:jc w:val="center"/>
              <w:rPr>
                <w:bCs/>
                <w:sz w:val="20"/>
                <w:szCs w:val="20"/>
              </w:rPr>
            </w:pPr>
          </w:p>
        </w:tc>
        <w:tc>
          <w:tcPr>
            <w:tcW w:w="1170" w:type="dxa"/>
          </w:tcPr>
          <w:p w14:paraId="5EA0883C" w14:textId="49BF4308" w:rsidR="00FA6B66" w:rsidRPr="00540D8E" w:rsidRDefault="007455F1" w:rsidP="00FA6B66">
            <w:pPr>
              <w:jc w:val="center"/>
              <w:rPr>
                <w:bCs/>
                <w:sz w:val="20"/>
                <w:szCs w:val="20"/>
              </w:rPr>
            </w:pPr>
            <w:r>
              <w:rPr>
                <w:bCs/>
                <w:sz w:val="20"/>
                <w:szCs w:val="20"/>
              </w:rPr>
              <w:t>442.863</w:t>
            </w:r>
          </w:p>
        </w:tc>
        <w:tc>
          <w:tcPr>
            <w:tcW w:w="900" w:type="dxa"/>
          </w:tcPr>
          <w:p w14:paraId="4F9743AE" w14:textId="77777777" w:rsidR="00FA6B66" w:rsidRPr="00540D8E" w:rsidRDefault="00FA6B66" w:rsidP="00FA6B66">
            <w:pPr>
              <w:jc w:val="center"/>
              <w:rPr>
                <w:bCs/>
                <w:sz w:val="20"/>
                <w:szCs w:val="20"/>
              </w:rPr>
            </w:pPr>
          </w:p>
        </w:tc>
        <w:tc>
          <w:tcPr>
            <w:tcW w:w="1080" w:type="dxa"/>
          </w:tcPr>
          <w:p w14:paraId="790C5AE6" w14:textId="31742660" w:rsidR="00FA6B66" w:rsidRPr="00540D8E" w:rsidRDefault="00237DD0" w:rsidP="00FA6B66">
            <w:pPr>
              <w:jc w:val="center"/>
              <w:rPr>
                <w:bCs/>
                <w:sz w:val="20"/>
                <w:szCs w:val="20"/>
              </w:rPr>
            </w:pPr>
            <w:r>
              <w:rPr>
                <w:bCs/>
                <w:sz w:val="20"/>
                <w:szCs w:val="20"/>
              </w:rPr>
              <w:t>783.942</w:t>
            </w:r>
          </w:p>
        </w:tc>
        <w:tc>
          <w:tcPr>
            <w:tcW w:w="905" w:type="dxa"/>
          </w:tcPr>
          <w:p w14:paraId="075C9010" w14:textId="77777777" w:rsidR="00FA6B66" w:rsidRPr="00540D8E" w:rsidRDefault="00FA6B66" w:rsidP="00FA6B66">
            <w:pPr>
              <w:jc w:val="center"/>
              <w:rPr>
                <w:bCs/>
                <w:sz w:val="20"/>
                <w:szCs w:val="20"/>
              </w:rPr>
            </w:pPr>
          </w:p>
        </w:tc>
        <w:tc>
          <w:tcPr>
            <w:tcW w:w="1440" w:type="dxa"/>
          </w:tcPr>
          <w:p w14:paraId="267128B2" w14:textId="77777777" w:rsidR="00FA6B66" w:rsidRPr="00540D8E" w:rsidRDefault="00FA6B66" w:rsidP="00FA6B66">
            <w:pPr>
              <w:jc w:val="center"/>
              <w:rPr>
                <w:bCs/>
                <w:sz w:val="20"/>
                <w:szCs w:val="20"/>
              </w:rPr>
            </w:pPr>
          </w:p>
        </w:tc>
        <w:tc>
          <w:tcPr>
            <w:tcW w:w="990" w:type="dxa"/>
          </w:tcPr>
          <w:p w14:paraId="3E317183" w14:textId="77777777" w:rsidR="00FA6B66" w:rsidRPr="00540D8E" w:rsidRDefault="00FA6B66" w:rsidP="00FA6B66">
            <w:pPr>
              <w:jc w:val="center"/>
              <w:rPr>
                <w:bCs/>
                <w:sz w:val="20"/>
                <w:szCs w:val="20"/>
              </w:rPr>
            </w:pPr>
          </w:p>
        </w:tc>
      </w:tr>
      <w:tr w:rsidR="00891600" w14:paraId="0B8FE9F9" w14:textId="77777777" w:rsidTr="00EB3F3B">
        <w:trPr>
          <w:jc w:val="center"/>
        </w:trPr>
        <w:tc>
          <w:tcPr>
            <w:tcW w:w="1525" w:type="dxa"/>
            <w:tcBorders>
              <w:bottom w:val="single" w:sz="4" w:space="0" w:color="auto"/>
            </w:tcBorders>
          </w:tcPr>
          <w:p w14:paraId="6E9A6A9C" w14:textId="01CF5D61" w:rsidR="00891600" w:rsidRPr="00F276E7" w:rsidRDefault="00891600" w:rsidP="00F276E7">
            <w:pPr>
              <w:jc w:val="center"/>
              <w:rPr>
                <w:i/>
                <w:iCs/>
                <w:sz w:val="20"/>
                <w:szCs w:val="20"/>
              </w:rPr>
            </w:pPr>
            <w:r w:rsidRPr="00F276E7">
              <w:rPr>
                <w:i/>
                <w:iCs/>
                <w:sz w:val="20"/>
                <w:szCs w:val="20"/>
              </w:rPr>
              <w:t>N</w:t>
            </w:r>
          </w:p>
        </w:tc>
        <w:tc>
          <w:tcPr>
            <w:tcW w:w="270" w:type="dxa"/>
            <w:tcBorders>
              <w:bottom w:val="single" w:sz="4" w:space="0" w:color="auto"/>
            </w:tcBorders>
          </w:tcPr>
          <w:p w14:paraId="34F8E5DF" w14:textId="77777777" w:rsidR="00891600" w:rsidRPr="00540D8E" w:rsidRDefault="00891600" w:rsidP="00FA6B66">
            <w:pPr>
              <w:jc w:val="center"/>
              <w:rPr>
                <w:b/>
                <w:sz w:val="20"/>
                <w:szCs w:val="20"/>
              </w:rPr>
            </w:pPr>
          </w:p>
        </w:tc>
        <w:tc>
          <w:tcPr>
            <w:tcW w:w="1260" w:type="dxa"/>
            <w:tcBorders>
              <w:bottom w:val="single" w:sz="4" w:space="0" w:color="auto"/>
            </w:tcBorders>
          </w:tcPr>
          <w:p w14:paraId="4B9777F3" w14:textId="2CDB7D6F" w:rsidR="00891600" w:rsidRPr="00540D8E" w:rsidRDefault="006F4332" w:rsidP="00FA6B66">
            <w:pPr>
              <w:jc w:val="center"/>
              <w:rPr>
                <w:bCs/>
                <w:sz w:val="20"/>
                <w:szCs w:val="20"/>
              </w:rPr>
            </w:pPr>
            <w:r>
              <w:rPr>
                <w:bCs/>
                <w:sz w:val="20"/>
                <w:szCs w:val="20"/>
              </w:rPr>
              <w:t>172 vs. 209</w:t>
            </w:r>
          </w:p>
        </w:tc>
        <w:tc>
          <w:tcPr>
            <w:tcW w:w="900" w:type="dxa"/>
            <w:tcBorders>
              <w:bottom w:val="single" w:sz="4" w:space="0" w:color="auto"/>
            </w:tcBorders>
          </w:tcPr>
          <w:p w14:paraId="0CE17A40" w14:textId="77777777" w:rsidR="00891600" w:rsidRPr="00540D8E" w:rsidRDefault="00891600" w:rsidP="00FA6B66">
            <w:pPr>
              <w:jc w:val="center"/>
              <w:rPr>
                <w:bCs/>
                <w:sz w:val="20"/>
                <w:szCs w:val="20"/>
              </w:rPr>
            </w:pPr>
          </w:p>
        </w:tc>
        <w:tc>
          <w:tcPr>
            <w:tcW w:w="1260" w:type="dxa"/>
            <w:tcBorders>
              <w:bottom w:val="single" w:sz="4" w:space="0" w:color="auto"/>
            </w:tcBorders>
          </w:tcPr>
          <w:p w14:paraId="411B9BFA" w14:textId="06F511D5" w:rsidR="00891600" w:rsidRPr="00540D8E" w:rsidRDefault="00891600" w:rsidP="00FA6B66">
            <w:pPr>
              <w:jc w:val="center"/>
              <w:rPr>
                <w:bCs/>
                <w:sz w:val="20"/>
                <w:szCs w:val="20"/>
              </w:rPr>
            </w:pPr>
            <w:r>
              <w:rPr>
                <w:bCs/>
                <w:sz w:val="20"/>
                <w:szCs w:val="20"/>
              </w:rPr>
              <w:t xml:space="preserve">98 vs. </w:t>
            </w:r>
            <w:r w:rsidR="006F4332">
              <w:rPr>
                <w:bCs/>
                <w:sz w:val="20"/>
                <w:szCs w:val="20"/>
              </w:rPr>
              <w:t>209</w:t>
            </w:r>
          </w:p>
        </w:tc>
        <w:tc>
          <w:tcPr>
            <w:tcW w:w="900" w:type="dxa"/>
            <w:tcBorders>
              <w:bottom w:val="single" w:sz="4" w:space="0" w:color="auto"/>
            </w:tcBorders>
          </w:tcPr>
          <w:p w14:paraId="5B3B9E89" w14:textId="77777777" w:rsidR="00891600" w:rsidRPr="00540D8E" w:rsidRDefault="00891600" w:rsidP="00FA6B66">
            <w:pPr>
              <w:jc w:val="center"/>
              <w:rPr>
                <w:bCs/>
                <w:sz w:val="20"/>
                <w:szCs w:val="20"/>
              </w:rPr>
            </w:pPr>
          </w:p>
        </w:tc>
        <w:tc>
          <w:tcPr>
            <w:tcW w:w="1170" w:type="dxa"/>
            <w:tcBorders>
              <w:bottom w:val="single" w:sz="4" w:space="0" w:color="auto"/>
            </w:tcBorders>
          </w:tcPr>
          <w:p w14:paraId="193DCA02" w14:textId="7D1B5006" w:rsidR="00891600" w:rsidRPr="00540D8E" w:rsidRDefault="006F4332" w:rsidP="00FA6B66">
            <w:pPr>
              <w:jc w:val="center"/>
              <w:rPr>
                <w:bCs/>
                <w:sz w:val="20"/>
                <w:szCs w:val="20"/>
              </w:rPr>
            </w:pPr>
            <w:r>
              <w:rPr>
                <w:bCs/>
                <w:sz w:val="20"/>
                <w:szCs w:val="20"/>
              </w:rPr>
              <w:t>90 vs. 209</w:t>
            </w:r>
          </w:p>
        </w:tc>
        <w:tc>
          <w:tcPr>
            <w:tcW w:w="900" w:type="dxa"/>
            <w:tcBorders>
              <w:bottom w:val="single" w:sz="4" w:space="0" w:color="auto"/>
            </w:tcBorders>
          </w:tcPr>
          <w:p w14:paraId="727B7934" w14:textId="77777777" w:rsidR="00891600" w:rsidRPr="00540D8E" w:rsidRDefault="00891600" w:rsidP="00FA6B66">
            <w:pPr>
              <w:jc w:val="center"/>
              <w:rPr>
                <w:bCs/>
                <w:sz w:val="20"/>
                <w:szCs w:val="20"/>
              </w:rPr>
            </w:pPr>
          </w:p>
        </w:tc>
        <w:tc>
          <w:tcPr>
            <w:tcW w:w="1170" w:type="dxa"/>
            <w:tcBorders>
              <w:bottom w:val="single" w:sz="4" w:space="0" w:color="auto"/>
            </w:tcBorders>
          </w:tcPr>
          <w:p w14:paraId="05E5AEDD" w14:textId="736B8227" w:rsidR="00891600" w:rsidRDefault="006F4332" w:rsidP="00FA6B66">
            <w:pPr>
              <w:jc w:val="center"/>
              <w:rPr>
                <w:bCs/>
                <w:sz w:val="20"/>
                <w:szCs w:val="20"/>
              </w:rPr>
            </w:pPr>
            <w:r>
              <w:rPr>
                <w:bCs/>
                <w:sz w:val="20"/>
                <w:szCs w:val="20"/>
              </w:rPr>
              <w:t>172 vs. 98</w:t>
            </w:r>
          </w:p>
        </w:tc>
        <w:tc>
          <w:tcPr>
            <w:tcW w:w="900" w:type="dxa"/>
            <w:tcBorders>
              <w:bottom w:val="single" w:sz="4" w:space="0" w:color="auto"/>
            </w:tcBorders>
          </w:tcPr>
          <w:p w14:paraId="57720836" w14:textId="77777777" w:rsidR="00891600" w:rsidRPr="00540D8E" w:rsidRDefault="00891600" w:rsidP="00FA6B66">
            <w:pPr>
              <w:jc w:val="center"/>
              <w:rPr>
                <w:bCs/>
                <w:sz w:val="20"/>
                <w:szCs w:val="20"/>
              </w:rPr>
            </w:pPr>
          </w:p>
        </w:tc>
        <w:tc>
          <w:tcPr>
            <w:tcW w:w="1080" w:type="dxa"/>
            <w:tcBorders>
              <w:bottom w:val="single" w:sz="4" w:space="0" w:color="auto"/>
            </w:tcBorders>
          </w:tcPr>
          <w:p w14:paraId="4CB1D4BC" w14:textId="511B28D8" w:rsidR="00891600" w:rsidRDefault="006F4332" w:rsidP="00FA6B66">
            <w:pPr>
              <w:jc w:val="center"/>
              <w:rPr>
                <w:bCs/>
                <w:sz w:val="20"/>
                <w:szCs w:val="20"/>
              </w:rPr>
            </w:pPr>
            <w:r>
              <w:rPr>
                <w:bCs/>
                <w:sz w:val="20"/>
                <w:szCs w:val="20"/>
              </w:rPr>
              <w:t>172 vs. 90</w:t>
            </w:r>
          </w:p>
        </w:tc>
        <w:tc>
          <w:tcPr>
            <w:tcW w:w="905" w:type="dxa"/>
            <w:tcBorders>
              <w:bottom w:val="single" w:sz="4" w:space="0" w:color="auto"/>
            </w:tcBorders>
          </w:tcPr>
          <w:p w14:paraId="5D3B1752" w14:textId="77777777" w:rsidR="00891600" w:rsidRPr="00540D8E" w:rsidRDefault="00891600" w:rsidP="00FA6B66">
            <w:pPr>
              <w:jc w:val="center"/>
              <w:rPr>
                <w:bCs/>
                <w:sz w:val="20"/>
                <w:szCs w:val="20"/>
              </w:rPr>
            </w:pPr>
          </w:p>
        </w:tc>
        <w:tc>
          <w:tcPr>
            <w:tcW w:w="1440" w:type="dxa"/>
            <w:tcBorders>
              <w:bottom w:val="single" w:sz="4" w:space="0" w:color="auto"/>
            </w:tcBorders>
          </w:tcPr>
          <w:p w14:paraId="3EFA9BA0" w14:textId="33227D07" w:rsidR="00891600" w:rsidRPr="00540D8E" w:rsidRDefault="006F4332" w:rsidP="00FA6B66">
            <w:pPr>
              <w:jc w:val="center"/>
              <w:rPr>
                <w:bCs/>
                <w:sz w:val="20"/>
                <w:szCs w:val="20"/>
              </w:rPr>
            </w:pPr>
            <w:r>
              <w:rPr>
                <w:bCs/>
                <w:sz w:val="20"/>
                <w:szCs w:val="20"/>
              </w:rPr>
              <w:t>98 vs. 90</w:t>
            </w:r>
          </w:p>
        </w:tc>
        <w:tc>
          <w:tcPr>
            <w:tcW w:w="990" w:type="dxa"/>
            <w:tcBorders>
              <w:bottom w:val="single" w:sz="4" w:space="0" w:color="auto"/>
            </w:tcBorders>
          </w:tcPr>
          <w:p w14:paraId="2F31261D" w14:textId="77777777" w:rsidR="00891600" w:rsidRPr="00540D8E" w:rsidRDefault="00891600" w:rsidP="00FA6B66">
            <w:pPr>
              <w:jc w:val="center"/>
              <w:rPr>
                <w:bCs/>
                <w:sz w:val="20"/>
                <w:szCs w:val="20"/>
              </w:rPr>
            </w:pPr>
          </w:p>
        </w:tc>
      </w:tr>
    </w:tbl>
    <w:p w14:paraId="35A7C9E7" w14:textId="722CE107" w:rsidR="00DC1F34" w:rsidRDefault="00FA6B66" w:rsidP="00540D8E">
      <w:pPr>
        <w:rPr>
          <w:bCs/>
          <w:sz w:val="22"/>
          <w:szCs w:val="22"/>
        </w:rPr>
      </w:pPr>
      <w:r w:rsidRPr="00F276E7">
        <w:rPr>
          <w:bCs/>
          <w:sz w:val="22"/>
          <w:szCs w:val="22"/>
        </w:rPr>
        <w:t>¹PE = Parameter Estimates</w:t>
      </w:r>
    </w:p>
    <w:p w14:paraId="59BC2675" w14:textId="2E8DFB0E" w:rsidR="007C7E83" w:rsidRPr="00F276E7" w:rsidRDefault="007C7E83" w:rsidP="00540D8E">
      <w:pPr>
        <w:rPr>
          <w:bCs/>
          <w:sz w:val="22"/>
          <w:szCs w:val="22"/>
        </w:rPr>
      </w:pPr>
      <w:r w:rsidRPr="00F276E7">
        <w:rPr>
          <w:bCs/>
          <w:sz w:val="22"/>
          <w:szCs w:val="22"/>
          <w:vertAlign w:val="superscript"/>
        </w:rPr>
        <w:t xml:space="preserve">&amp; </w:t>
      </w:r>
      <w:r>
        <w:rPr>
          <w:bCs/>
          <w:sz w:val="22"/>
          <w:szCs w:val="22"/>
        </w:rPr>
        <w:t>Due to lack of data for Australia and Germany on standardization, we tested H2 only on the data pertaining to the U.S and the U.K.</w:t>
      </w:r>
    </w:p>
    <w:p w14:paraId="35992BAB" w14:textId="676D542A" w:rsidR="00C8614C" w:rsidRPr="00F276E7" w:rsidRDefault="00C8614C" w:rsidP="00C8614C">
      <w:pPr>
        <w:rPr>
          <w:bCs/>
          <w:sz w:val="22"/>
          <w:szCs w:val="22"/>
        </w:rPr>
      </w:pPr>
      <w:r w:rsidRPr="00F276E7">
        <w:rPr>
          <w:bCs/>
          <w:sz w:val="22"/>
          <w:szCs w:val="22"/>
        </w:rPr>
        <w:t xml:space="preserve">Notes: </w:t>
      </w:r>
      <w:r w:rsidR="00C70C44" w:rsidRPr="00F276E7">
        <w:rPr>
          <w:bCs/>
          <w:sz w:val="22"/>
          <w:szCs w:val="22"/>
        </w:rPr>
        <w:t xml:space="preserve">†p &lt; 0.10, </w:t>
      </w:r>
      <w:r w:rsidRPr="00F276E7">
        <w:rPr>
          <w:bCs/>
          <w:sz w:val="22"/>
          <w:szCs w:val="22"/>
        </w:rPr>
        <w:t>* p &lt; 0.05, ** p &lt; 0.01, *** p &lt; 0.001</w:t>
      </w:r>
    </w:p>
    <w:p w14:paraId="2D58C2B3" w14:textId="77777777" w:rsidR="00C8614C" w:rsidRPr="00540D8E" w:rsidRDefault="00C8614C" w:rsidP="00540D8E">
      <w:pPr>
        <w:rPr>
          <w:bCs/>
        </w:rPr>
      </w:pPr>
    </w:p>
    <w:p w14:paraId="09EAF3A3" w14:textId="3088FC79" w:rsidR="00147084" w:rsidRDefault="00147084">
      <w:pPr>
        <w:rPr>
          <w:b/>
          <w:bCs/>
        </w:rPr>
        <w:sectPr w:rsidR="00147084" w:rsidSect="00784905">
          <w:footnotePr>
            <w:pos w:val="beneathText"/>
          </w:footnotePr>
          <w:pgSz w:w="15840" w:h="12240" w:orient="landscape"/>
          <w:pgMar w:top="1440" w:right="1440" w:bottom="1440" w:left="1440" w:header="720" w:footer="720" w:gutter="0"/>
          <w:cols w:space="720"/>
          <w:docGrid w:linePitch="360"/>
        </w:sectPr>
      </w:pPr>
    </w:p>
    <w:p w14:paraId="632E8477" w14:textId="1372D06D" w:rsidR="006F1B5C" w:rsidRPr="00F276E7" w:rsidRDefault="00147084" w:rsidP="00F276E7">
      <w:pPr>
        <w:spacing w:after="360"/>
        <w:jc w:val="center"/>
        <w:rPr>
          <w:b/>
          <w:bCs/>
          <w:sz w:val="22"/>
          <w:szCs w:val="22"/>
        </w:rPr>
      </w:pPr>
      <w:r w:rsidRPr="00F276E7">
        <w:rPr>
          <w:b/>
          <w:bCs/>
          <w:sz w:val="22"/>
          <w:szCs w:val="22"/>
        </w:rPr>
        <w:lastRenderedPageBreak/>
        <w:t xml:space="preserve">Figure </w:t>
      </w:r>
      <w:r w:rsidR="006F1B5C" w:rsidRPr="00F276E7">
        <w:rPr>
          <w:b/>
          <w:bCs/>
          <w:sz w:val="22"/>
          <w:szCs w:val="22"/>
        </w:rPr>
        <w:t>1</w:t>
      </w:r>
      <w:r w:rsidR="00F30312" w:rsidRPr="00F276E7">
        <w:rPr>
          <w:b/>
          <w:bCs/>
          <w:sz w:val="22"/>
          <w:szCs w:val="22"/>
        </w:rPr>
        <w:t xml:space="preserve"> – Probability of recall</w:t>
      </w:r>
      <w:r w:rsidR="002E6914" w:rsidRPr="00F276E7">
        <w:rPr>
          <w:b/>
          <w:bCs/>
          <w:sz w:val="22"/>
          <w:szCs w:val="22"/>
        </w:rPr>
        <w:t xml:space="preserve"> over time</w:t>
      </w:r>
      <w:r w:rsidR="00F30312" w:rsidRPr="00F276E7">
        <w:rPr>
          <w:b/>
          <w:bCs/>
          <w:sz w:val="22"/>
          <w:szCs w:val="22"/>
        </w:rPr>
        <w:t xml:space="preserve"> in the U.K above the U.S</w:t>
      </w:r>
    </w:p>
    <w:tbl>
      <w:tblPr>
        <w:tblW w:w="11392" w:type="dxa"/>
        <w:tblLook w:val="04A0" w:firstRow="1" w:lastRow="0" w:firstColumn="1" w:lastColumn="0" w:noHBand="0" w:noVBand="1"/>
      </w:tblPr>
      <w:tblGrid>
        <w:gridCol w:w="1236"/>
        <w:gridCol w:w="1236"/>
        <w:gridCol w:w="1036"/>
        <w:gridCol w:w="1036"/>
        <w:gridCol w:w="1036"/>
        <w:gridCol w:w="1036"/>
        <w:gridCol w:w="1036"/>
        <w:gridCol w:w="1036"/>
        <w:gridCol w:w="616"/>
        <w:gridCol w:w="1036"/>
        <w:gridCol w:w="1036"/>
        <w:gridCol w:w="416"/>
      </w:tblGrid>
      <w:tr w:rsidR="00344408" w14:paraId="462FCF8D" w14:textId="77777777" w:rsidTr="00344408">
        <w:trPr>
          <w:trHeight w:val="285"/>
        </w:trPr>
        <w:tc>
          <w:tcPr>
            <w:tcW w:w="1036" w:type="dxa"/>
            <w:tcBorders>
              <w:top w:val="nil"/>
              <w:left w:val="nil"/>
              <w:bottom w:val="nil"/>
              <w:right w:val="nil"/>
            </w:tcBorders>
            <w:shd w:val="clear" w:color="auto" w:fill="auto"/>
            <w:noWrap/>
            <w:vAlign w:val="bottom"/>
            <w:hideMark/>
          </w:tcPr>
          <w:p w14:paraId="34063A16" w14:textId="77777777" w:rsidR="00344408" w:rsidRDefault="00344408">
            <w:pPr>
              <w:rPr>
                <w:sz w:val="20"/>
                <w:szCs w:val="20"/>
                <w:lang w:val="en-US" w:eastAsia="en-US"/>
              </w:rPr>
            </w:pPr>
          </w:p>
        </w:tc>
        <w:tc>
          <w:tcPr>
            <w:tcW w:w="1036" w:type="dxa"/>
            <w:tcBorders>
              <w:top w:val="nil"/>
              <w:left w:val="nil"/>
              <w:bottom w:val="nil"/>
              <w:right w:val="nil"/>
            </w:tcBorders>
            <w:shd w:val="clear" w:color="auto" w:fill="auto"/>
            <w:noWrap/>
            <w:vAlign w:val="bottom"/>
            <w:hideMark/>
          </w:tcPr>
          <w:p w14:paraId="6DEF1ECD" w14:textId="0DDAA4E1" w:rsidR="00344408" w:rsidRDefault="00344408">
            <w:pPr>
              <w:rPr>
                <w:rFonts w:ascii="Calibri" w:hAnsi="Calibri" w:cs="Calibri"/>
                <w:color w:val="000000"/>
                <w:sz w:val="22"/>
                <w:szCs w:val="22"/>
              </w:rPr>
            </w:pPr>
            <w:r>
              <w:rPr>
                <w:rFonts w:ascii="Calibri" w:hAnsi="Calibri" w:cs="Calibri"/>
                <w:noProof/>
                <w:color w:val="000000"/>
                <w:sz w:val="22"/>
                <w:szCs w:val="22"/>
              </w:rPr>
              <w:drawing>
                <wp:anchor distT="0" distB="0" distL="114300" distR="114300" simplePos="0" relativeHeight="251667968" behindDoc="0" locked="0" layoutInCell="1" allowOverlap="1" wp14:anchorId="0ACCDBFA" wp14:editId="07BA5278">
                  <wp:simplePos x="0" y="0"/>
                  <wp:positionH relativeFrom="column">
                    <wp:posOffset>90170</wp:posOffset>
                  </wp:positionH>
                  <wp:positionV relativeFrom="paragraph">
                    <wp:posOffset>138430</wp:posOffset>
                  </wp:positionV>
                  <wp:extent cx="4585970" cy="2757170"/>
                  <wp:effectExtent l="0" t="0" r="5080" b="5080"/>
                  <wp:wrapNone/>
                  <wp:docPr id="3" name="Chart 6">
                    <a:extLst xmlns:a="http://schemas.openxmlformats.org/drawingml/2006/main">
                      <a:ext uri="{FF2B5EF4-FFF2-40B4-BE49-F238E27FC236}">
                        <a16:creationId xmlns:a16="http://schemas.microsoft.com/office/drawing/2014/main" id="{EA7845D2-939D-7FA8-1307-A681446C0C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Pr>
                <w:rFonts w:ascii="Calibri" w:hAnsi="Calibri" w:cs="Calibri"/>
                <w:noProof/>
                <w:color w:val="000000"/>
                <w:sz w:val="22"/>
                <w:szCs w:val="22"/>
              </w:rPr>
              <mc:AlternateContent>
                <mc:Choice Requires="wps">
                  <w:drawing>
                    <wp:anchor distT="0" distB="0" distL="114300" distR="114300" simplePos="0" relativeHeight="251672064" behindDoc="0" locked="0" layoutInCell="1" allowOverlap="1" wp14:anchorId="701FCC1A" wp14:editId="2718239C">
                      <wp:simplePos x="0" y="0"/>
                      <wp:positionH relativeFrom="column">
                        <wp:posOffset>276225</wp:posOffset>
                      </wp:positionH>
                      <wp:positionV relativeFrom="paragraph">
                        <wp:posOffset>2152650</wp:posOffset>
                      </wp:positionV>
                      <wp:extent cx="481330" cy="342900"/>
                      <wp:effectExtent l="0" t="0" r="0" b="0"/>
                      <wp:wrapNone/>
                      <wp:docPr id="9" name="Text Box 5">
                        <a:extLst xmlns:a="http://schemas.openxmlformats.org/drawingml/2006/main">
                          <a:ext uri="{FF2B5EF4-FFF2-40B4-BE49-F238E27FC236}">
                            <a16:creationId xmlns:a16="http://schemas.microsoft.com/office/drawing/2014/main" id="{42FC9386-EDD9-D3A0-A7E1-4643033D3D17}"/>
                          </a:ext>
                        </a:extLst>
                      </wp:docPr>
                      <wp:cNvGraphicFramePr/>
                      <a:graphic xmlns:a="http://schemas.openxmlformats.org/drawingml/2006/main">
                        <a:graphicData uri="http://schemas.microsoft.com/office/word/2010/wordprocessingShape">
                          <wps:wsp>
                            <wps:cNvSpPr txBox="1"/>
                            <wps:spPr>
                              <a:xfrm>
                                <a:off x="0" y="0"/>
                                <a:ext cx="481014" cy="347661"/>
                              </a:xfrm>
                              <a:prstGeom prst="rect">
                                <a:avLst/>
                              </a:prstGeom>
                            </wps:spPr>
                            <wps:txbx>
                              <w:txbxContent>
                                <w:p w14:paraId="793D824F" w14:textId="77777777" w:rsidR="00344408" w:rsidRDefault="00344408" w:rsidP="00344408">
                                  <w:pPr>
                                    <w:rPr>
                                      <w:rFonts w:asciiTheme="minorHAnsi" w:hAnsi="Calibri" w:cstheme="minorBidi"/>
                                      <w:sz w:val="22"/>
                                      <w:szCs w:val="22"/>
                                    </w:rPr>
                                  </w:pPr>
                                  <w:r>
                                    <w:rPr>
                                      <w:rFonts w:asciiTheme="minorHAnsi" w:hAnsi="Calibri" w:cstheme="minorBidi"/>
                                      <w:sz w:val="22"/>
                                      <w:szCs w:val="22"/>
                                    </w:rPr>
                                    <w:t>0.6%</w:t>
                                  </w:r>
                                </w:p>
                              </w:txbxContent>
                            </wps:txbx>
                            <wps:bodyPr wrap="square" rtlCol="0"/>
                          </wps:wsp>
                        </a:graphicData>
                      </a:graphic>
                      <wp14:sizeRelH relativeFrom="page">
                        <wp14:pctWidth>0</wp14:pctWidth>
                      </wp14:sizeRelH>
                      <wp14:sizeRelV relativeFrom="page">
                        <wp14:pctHeight>0</wp14:pctHeight>
                      </wp14:sizeRelV>
                    </wp:anchor>
                  </w:drawing>
                </mc:Choice>
                <mc:Fallback>
                  <w:pict>
                    <v:shape w14:anchorId="701FCC1A" id="Text Box 5" o:spid="_x0000_s1027" type="#_x0000_t202" style="position:absolute;margin-left:21.75pt;margin-top:169.5pt;width:37.9pt;height:2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" filled="f" stroked="f">
                      <v:textbox>
                        <w:txbxContent>
                          <w:p w14:paraId="793D824F" w14:textId="77777777" w:rsidR="00344408" w:rsidRDefault="00344408" w:rsidP="00344408">
                            <w:pPr>
                              <w:rPr>
                                <w:rFonts w:asciiTheme="minorHAnsi" w:hAnsi="Calibri" w:cstheme="minorBidi"/>
                                <w:sz w:val="22"/>
                                <w:szCs w:val="22"/>
                              </w:rPr>
                            </w:pPr>
                            <w:r>
                              <w:rPr>
                                <w:rFonts w:asciiTheme="minorHAnsi" w:hAnsi="Calibri" w:cstheme="minorBidi"/>
                                <w:sz w:val="22"/>
                                <w:szCs w:val="22"/>
                              </w:rPr>
                              <w:t>0.6%</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020"/>
            </w:tblGrid>
            <w:tr w:rsidR="00344408" w14:paraId="33EC7CA2" w14:textId="77777777">
              <w:trPr>
                <w:trHeight w:val="285"/>
                <w:tblCellSpacing w:w="0" w:type="dxa"/>
              </w:trPr>
              <w:tc>
                <w:tcPr>
                  <w:tcW w:w="1020" w:type="dxa"/>
                  <w:tcBorders>
                    <w:top w:val="nil"/>
                    <w:left w:val="nil"/>
                    <w:bottom w:val="nil"/>
                    <w:right w:val="nil"/>
                  </w:tcBorders>
                  <w:shd w:val="clear" w:color="auto" w:fill="auto"/>
                  <w:noWrap/>
                  <w:vAlign w:val="bottom"/>
                  <w:hideMark/>
                </w:tcPr>
                <w:p w14:paraId="097DA340" w14:textId="77777777" w:rsidR="00344408" w:rsidRDefault="00344408">
                  <w:pPr>
                    <w:rPr>
                      <w:rFonts w:ascii="Calibri" w:hAnsi="Calibri" w:cs="Calibri"/>
                      <w:color w:val="000000"/>
                      <w:sz w:val="22"/>
                      <w:szCs w:val="22"/>
                    </w:rPr>
                  </w:pPr>
                </w:p>
              </w:tc>
            </w:tr>
          </w:tbl>
          <w:p w14:paraId="1276170A" w14:textId="77777777" w:rsidR="00344408" w:rsidRDefault="00344408">
            <w:pPr>
              <w:rPr>
                <w:rFonts w:ascii="Calibri" w:hAnsi="Calibri" w:cs="Calibri"/>
                <w:color w:val="000000"/>
                <w:sz w:val="22"/>
                <w:szCs w:val="22"/>
              </w:rPr>
            </w:pPr>
          </w:p>
        </w:tc>
        <w:tc>
          <w:tcPr>
            <w:tcW w:w="1036" w:type="dxa"/>
            <w:tcBorders>
              <w:top w:val="nil"/>
              <w:left w:val="nil"/>
              <w:bottom w:val="nil"/>
              <w:right w:val="nil"/>
            </w:tcBorders>
            <w:shd w:val="clear" w:color="auto" w:fill="auto"/>
            <w:noWrap/>
            <w:vAlign w:val="bottom"/>
            <w:hideMark/>
          </w:tcPr>
          <w:p w14:paraId="575E9959"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632DC671"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6E22D875"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49D6E090"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5371C90E"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4F3B08A2" w14:textId="77777777" w:rsidR="00344408" w:rsidRDefault="00344408">
            <w:pPr>
              <w:rPr>
                <w:sz w:val="20"/>
                <w:szCs w:val="20"/>
              </w:rPr>
            </w:pPr>
          </w:p>
        </w:tc>
        <w:tc>
          <w:tcPr>
            <w:tcW w:w="616" w:type="dxa"/>
            <w:tcBorders>
              <w:top w:val="nil"/>
              <w:left w:val="nil"/>
              <w:bottom w:val="nil"/>
              <w:right w:val="nil"/>
            </w:tcBorders>
            <w:shd w:val="clear" w:color="auto" w:fill="auto"/>
            <w:noWrap/>
            <w:vAlign w:val="bottom"/>
            <w:hideMark/>
          </w:tcPr>
          <w:p w14:paraId="26C713EF"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3E546C93"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47D61872" w14:textId="77777777" w:rsidR="00344408" w:rsidRDefault="00344408">
            <w:pPr>
              <w:rPr>
                <w:sz w:val="20"/>
                <w:szCs w:val="20"/>
              </w:rPr>
            </w:pPr>
          </w:p>
        </w:tc>
        <w:tc>
          <w:tcPr>
            <w:tcW w:w="416" w:type="dxa"/>
            <w:tcBorders>
              <w:top w:val="nil"/>
              <w:left w:val="nil"/>
              <w:bottom w:val="nil"/>
              <w:right w:val="nil"/>
            </w:tcBorders>
            <w:shd w:val="clear" w:color="auto" w:fill="auto"/>
            <w:noWrap/>
            <w:vAlign w:val="bottom"/>
            <w:hideMark/>
          </w:tcPr>
          <w:p w14:paraId="7B74AD78" w14:textId="77777777" w:rsidR="00344408" w:rsidRDefault="00344408">
            <w:pPr>
              <w:rPr>
                <w:sz w:val="20"/>
                <w:szCs w:val="20"/>
              </w:rPr>
            </w:pPr>
          </w:p>
        </w:tc>
      </w:tr>
      <w:tr w:rsidR="00344408" w14:paraId="5511F998" w14:textId="77777777" w:rsidTr="00344408">
        <w:trPr>
          <w:trHeight w:val="285"/>
        </w:trPr>
        <w:tc>
          <w:tcPr>
            <w:tcW w:w="1036" w:type="dxa"/>
            <w:tcBorders>
              <w:top w:val="nil"/>
              <w:left w:val="nil"/>
              <w:bottom w:val="nil"/>
              <w:right w:val="nil"/>
            </w:tcBorders>
            <w:shd w:val="clear" w:color="auto" w:fill="auto"/>
            <w:noWrap/>
            <w:vAlign w:val="bottom"/>
            <w:hideMark/>
          </w:tcPr>
          <w:p w14:paraId="333A30E9" w14:textId="67667048" w:rsidR="00344408" w:rsidRDefault="00344408">
            <w:pPr>
              <w:rPr>
                <w:rFonts w:ascii="Calibri" w:hAnsi="Calibri" w:cs="Calibri"/>
                <w:color w:val="000000"/>
                <w:sz w:val="22"/>
                <w:szCs w:val="22"/>
              </w:rPr>
            </w:pPr>
          </w:p>
          <w:tbl>
            <w:tblPr>
              <w:tblW w:w="0" w:type="auto"/>
              <w:tblCellSpacing w:w="0" w:type="dxa"/>
              <w:tblCellMar>
                <w:left w:w="0" w:type="dxa"/>
                <w:right w:w="0" w:type="dxa"/>
              </w:tblCellMar>
              <w:tblLook w:val="04A0" w:firstRow="1" w:lastRow="0" w:firstColumn="1" w:lastColumn="0" w:noHBand="0" w:noVBand="1"/>
            </w:tblPr>
            <w:tblGrid>
              <w:gridCol w:w="1020"/>
            </w:tblGrid>
            <w:tr w:rsidR="00344408" w14:paraId="0EE83F49" w14:textId="77777777">
              <w:trPr>
                <w:trHeight w:val="285"/>
                <w:tblCellSpacing w:w="0" w:type="dxa"/>
              </w:trPr>
              <w:tc>
                <w:tcPr>
                  <w:tcW w:w="1020" w:type="dxa"/>
                  <w:tcBorders>
                    <w:top w:val="nil"/>
                    <w:left w:val="nil"/>
                    <w:bottom w:val="nil"/>
                    <w:right w:val="nil"/>
                  </w:tcBorders>
                  <w:shd w:val="clear" w:color="auto" w:fill="auto"/>
                  <w:noWrap/>
                  <w:vAlign w:val="bottom"/>
                  <w:hideMark/>
                </w:tcPr>
                <w:p w14:paraId="5A732892" w14:textId="09205AB2" w:rsidR="00344408" w:rsidRDefault="00344408">
                  <w:pPr>
                    <w:rPr>
                      <w:rFonts w:ascii="Calibri" w:hAnsi="Calibri" w:cs="Calibri"/>
                      <w:color w:val="000000"/>
                      <w:sz w:val="22"/>
                      <w:szCs w:val="22"/>
                    </w:rPr>
                  </w:pPr>
                </w:p>
              </w:tc>
            </w:tr>
          </w:tbl>
          <w:p w14:paraId="7ED0899D" w14:textId="77777777" w:rsidR="00344408" w:rsidRDefault="00344408">
            <w:pPr>
              <w:rPr>
                <w:rFonts w:ascii="Calibri" w:hAnsi="Calibri" w:cs="Calibri"/>
                <w:color w:val="000000"/>
                <w:sz w:val="22"/>
                <w:szCs w:val="22"/>
              </w:rPr>
            </w:pPr>
          </w:p>
        </w:tc>
        <w:tc>
          <w:tcPr>
            <w:tcW w:w="1036" w:type="dxa"/>
            <w:tcBorders>
              <w:top w:val="nil"/>
              <w:left w:val="nil"/>
              <w:bottom w:val="nil"/>
              <w:right w:val="nil"/>
            </w:tcBorders>
            <w:shd w:val="clear" w:color="auto" w:fill="auto"/>
            <w:noWrap/>
            <w:vAlign w:val="bottom"/>
            <w:hideMark/>
          </w:tcPr>
          <w:p w14:paraId="213C51C9" w14:textId="04215E33"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221A4857"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6555ED8C"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2C86F9B0"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5125A902"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2CD183ED"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7CBED889" w14:textId="77777777" w:rsidR="00344408" w:rsidRDefault="00344408">
            <w:pPr>
              <w:rPr>
                <w:sz w:val="20"/>
                <w:szCs w:val="20"/>
              </w:rPr>
            </w:pPr>
          </w:p>
        </w:tc>
        <w:tc>
          <w:tcPr>
            <w:tcW w:w="616" w:type="dxa"/>
            <w:tcBorders>
              <w:top w:val="nil"/>
              <w:left w:val="nil"/>
              <w:bottom w:val="nil"/>
              <w:right w:val="nil"/>
            </w:tcBorders>
            <w:shd w:val="clear" w:color="auto" w:fill="auto"/>
            <w:noWrap/>
            <w:vAlign w:val="bottom"/>
            <w:hideMark/>
          </w:tcPr>
          <w:p w14:paraId="4085FDE0"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6F6948D3"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351BA750" w14:textId="77777777" w:rsidR="00344408" w:rsidRDefault="00344408">
            <w:pPr>
              <w:rPr>
                <w:sz w:val="20"/>
                <w:szCs w:val="20"/>
              </w:rPr>
            </w:pPr>
          </w:p>
        </w:tc>
        <w:tc>
          <w:tcPr>
            <w:tcW w:w="416" w:type="dxa"/>
            <w:tcBorders>
              <w:top w:val="nil"/>
              <w:left w:val="nil"/>
              <w:bottom w:val="nil"/>
              <w:right w:val="nil"/>
            </w:tcBorders>
            <w:shd w:val="clear" w:color="auto" w:fill="auto"/>
            <w:noWrap/>
            <w:vAlign w:val="bottom"/>
            <w:hideMark/>
          </w:tcPr>
          <w:p w14:paraId="00EE67D5" w14:textId="77777777" w:rsidR="00344408" w:rsidRDefault="00344408">
            <w:pPr>
              <w:rPr>
                <w:sz w:val="20"/>
                <w:szCs w:val="20"/>
              </w:rPr>
            </w:pPr>
          </w:p>
        </w:tc>
      </w:tr>
      <w:tr w:rsidR="00344408" w14:paraId="2752C8B2" w14:textId="77777777" w:rsidTr="00344408">
        <w:trPr>
          <w:trHeight w:val="285"/>
        </w:trPr>
        <w:tc>
          <w:tcPr>
            <w:tcW w:w="1036" w:type="dxa"/>
            <w:tcBorders>
              <w:top w:val="nil"/>
              <w:left w:val="nil"/>
              <w:bottom w:val="nil"/>
              <w:right w:val="nil"/>
            </w:tcBorders>
            <w:shd w:val="clear" w:color="auto" w:fill="auto"/>
            <w:noWrap/>
            <w:vAlign w:val="bottom"/>
            <w:hideMark/>
          </w:tcPr>
          <w:p w14:paraId="2DA1244C" w14:textId="47D16B65" w:rsidR="00344408" w:rsidRDefault="00344408">
            <w:pPr>
              <w:rPr>
                <w:sz w:val="20"/>
                <w:szCs w:val="20"/>
              </w:rPr>
            </w:pPr>
            <w:r>
              <w:rPr>
                <w:rFonts w:ascii="Calibri" w:hAnsi="Calibri" w:cs="Calibri"/>
                <w:noProof/>
                <w:color w:val="000000"/>
                <w:sz w:val="22"/>
                <w:szCs w:val="22"/>
              </w:rPr>
              <mc:AlternateContent>
                <mc:Choice Requires="wps">
                  <w:drawing>
                    <wp:anchor distT="0" distB="0" distL="114300" distR="114300" simplePos="0" relativeHeight="251673088" behindDoc="0" locked="0" layoutInCell="1" allowOverlap="1" wp14:anchorId="0EE5E9D3" wp14:editId="00A74FE1">
                      <wp:simplePos x="0" y="0"/>
                      <wp:positionH relativeFrom="column">
                        <wp:posOffset>258445</wp:posOffset>
                      </wp:positionH>
                      <wp:positionV relativeFrom="paragraph">
                        <wp:posOffset>-405765</wp:posOffset>
                      </wp:positionV>
                      <wp:extent cx="471170" cy="2653030"/>
                      <wp:effectExtent l="0" t="0" r="5080" b="0"/>
                      <wp:wrapNone/>
                      <wp:docPr id="20" name="Text Box 4">
                        <a:extLst xmlns:a="http://schemas.openxmlformats.org/drawingml/2006/main">
                          <a:ext uri="{FF2B5EF4-FFF2-40B4-BE49-F238E27FC236}">
                            <a16:creationId xmlns:a16="http://schemas.microsoft.com/office/drawing/2014/main" id="{47005964-E5B0-7A59-572B-2AD8AE98AA4C}"/>
                          </a:ext>
                        </a:extLst>
                      </wp:docPr>
                      <wp:cNvGraphicFramePr/>
                      <a:graphic xmlns:a="http://schemas.openxmlformats.org/drawingml/2006/main">
                        <a:graphicData uri="http://schemas.microsoft.com/office/word/2010/wordprocessingShape">
                          <wps:wsp>
                            <wps:cNvSpPr txBox="1"/>
                            <wps:spPr>
                              <a:xfrm>
                                <a:off x="0" y="0"/>
                                <a:ext cx="471170" cy="265303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5263A686" w14:textId="77777777" w:rsidR="00344408" w:rsidRDefault="00344408" w:rsidP="00344408">
                                  <w:pPr>
                                    <w:rPr>
                                      <w:rFonts w:asciiTheme="minorHAnsi" w:hAnsi="Calibri" w:cstheme="minorBidi"/>
                                      <w:color w:val="000000" w:themeColor="dark1"/>
                                      <w:sz w:val="22"/>
                                      <w:szCs w:val="22"/>
                                    </w:rPr>
                                  </w:pPr>
                                  <w:r>
                                    <w:rPr>
                                      <w:rFonts w:asciiTheme="minorHAnsi" w:hAnsi="Calibri" w:cstheme="minorBidi"/>
                                      <w:color w:val="000000" w:themeColor="dark1"/>
                                      <w:sz w:val="22"/>
                                      <w:szCs w:val="22"/>
                                    </w:rPr>
                                    <w:t xml:space="preserve">Differences in recall </w:t>
                                  </w:r>
                                  <w:proofErr w:type="spellStart"/>
                                  <w:r>
                                    <w:rPr>
                                      <w:rFonts w:asciiTheme="minorHAnsi" w:hAnsi="Calibri" w:cstheme="minorBidi"/>
                                      <w:color w:val="000000" w:themeColor="dark1"/>
                                      <w:sz w:val="22"/>
                                      <w:szCs w:val="22"/>
                                    </w:rPr>
                                    <w:t>probaiblity</w:t>
                                  </w:r>
                                  <w:proofErr w:type="spellEnd"/>
                                  <w:r>
                                    <w:rPr>
                                      <w:rFonts w:asciiTheme="minorHAnsi" w:hAnsi="Calibri" w:cstheme="minorBidi"/>
                                      <w:color w:val="000000" w:themeColor="dark1"/>
                                      <w:sz w:val="22"/>
                                      <w:szCs w:val="22"/>
                                    </w:rPr>
                                    <w:t xml:space="preserve"> over time, between the U.K and U.S.</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0EE5E9D3" id="Text Box 4" o:spid="_x0000_s1028" type="#_x0000_t202" style="position:absolute;margin-left:20.35pt;margin-top:-31.95pt;width:37.1pt;height:208.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" fillcolor="white [3201]" stroked="f">
                      <v:textbox>
                        <w:txbxContent>
                          <w:p w14:paraId="5263A686" w14:textId="77777777" w:rsidR="00344408" w:rsidRDefault="00344408" w:rsidP="00344408">
                            <w:pPr>
                              <w:rPr>
                                <w:rFonts w:asciiTheme="minorHAnsi" w:hAnsi="Calibri" w:cstheme="minorBidi"/>
                                <w:color w:val="000000" w:themeColor="dark1"/>
                                <w:sz w:val="22"/>
                                <w:szCs w:val="22"/>
                              </w:rPr>
                            </w:pPr>
                            <w:r>
                              <w:rPr>
                                <w:rFonts w:asciiTheme="minorHAnsi" w:hAnsi="Calibri" w:cstheme="minorBidi"/>
                                <w:color w:val="000000" w:themeColor="dark1"/>
                                <w:sz w:val="22"/>
                                <w:szCs w:val="22"/>
                              </w:rPr>
                              <w:t xml:space="preserve">Differences in recall </w:t>
                            </w:r>
                            <w:proofErr w:type="spellStart"/>
                            <w:r>
                              <w:rPr>
                                <w:rFonts w:asciiTheme="minorHAnsi" w:hAnsi="Calibri" w:cstheme="minorBidi"/>
                                <w:color w:val="000000" w:themeColor="dark1"/>
                                <w:sz w:val="22"/>
                                <w:szCs w:val="22"/>
                              </w:rPr>
                              <w:t>probaiblity</w:t>
                            </w:r>
                            <w:proofErr w:type="spellEnd"/>
                            <w:r>
                              <w:rPr>
                                <w:rFonts w:asciiTheme="minorHAnsi" w:hAnsi="Calibri" w:cstheme="minorBidi"/>
                                <w:color w:val="000000" w:themeColor="dark1"/>
                                <w:sz w:val="22"/>
                                <w:szCs w:val="22"/>
                              </w:rPr>
                              <w:t xml:space="preserve"> over time, between the U.K and U.S.</w:t>
                            </w:r>
                          </w:p>
                        </w:txbxContent>
                      </v:textbox>
                    </v:shape>
                  </w:pict>
                </mc:Fallback>
              </mc:AlternateContent>
            </w:r>
          </w:p>
        </w:tc>
        <w:tc>
          <w:tcPr>
            <w:tcW w:w="1036" w:type="dxa"/>
            <w:tcBorders>
              <w:top w:val="nil"/>
              <w:left w:val="nil"/>
              <w:bottom w:val="nil"/>
              <w:right w:val="nil"/>
            </w:tcBorders>
            <w:shd w:val="clear" w:color="auto" w:fill="auto"/>
            <w:noWrap/>
            <w:vAlign w:val="bottom"/>
            <w:hideMark/>
          </w:tcPr>
          <w:p w14:paraId="19FA4204"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30C35517"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50A431B1"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46132114"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66E8C492"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0AC9F9BF"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017ECCA9" w14:textId="77777777" w:rsidR="00344408" w:rsidRDefault="00344408">
            <w:pPr>
              <w:rPr>
                <w:sz w:val="20"/>
                <w:szCs w:val="20"/>
              </w:rPr>
            </w:pPr>
          </w:p>
        </w:tc>
        <w:tc>
          <w:tcPr>
            <w:tcW w:w="616" w:type="dxa"/>
            <w:tcBorders>
              <w:top w:val="nil"/>
              <w:left w:val="nil"/>
              <w:bottom w:val="nil"/>
              <w:right w:val="nil"/>
            </w:tcBorders>
            <w:shd w:val="clear" w:color="auto" w:fill="auto"/>
            <w:noWrap/>
            <w:vAlign w:val="bottom"/>
            <w:hideMark/>
          </w:tcPr>
          <w:p w14:paraId="787E32AD" w14:textId="77777777" w:rsidR="00344408" w:rsidRDefault="00344408">
            <w:pPr>
              <w:rPr>
                <w:sz w:val="20"/>
                <w:szCs w:val="20"/>
              </w:rPr>
            </w:pPr>
          </w:p>
        </w:tc>
        <w:tc>
          <w:tcPr>
            <w:tcW w:w="2072" w:type="dxa"/>
            <w:gridSpan w:val="2"/>
            <w:vMerge w:val="restart"/>
            <w:tcBorders>
              <w:top w:val="nil"/>
              <w:left w:val="nil"/>
              <w:bottom w:val="nil"/>
              <w:right w:val="nil"/>
            </w:tcBorders>
            <w:shd w:val="clear" w:color="auto" w:fill="auto"/>
            <w:noWrap/>
            <w:vAlign w:val="bottom"/>
            <w:hideMark/>
          </w:tcPr>
          <w:p w14:paraId="1C6B1B66" w14:textId="47150568" w:rsidR="00344408" w:rsidRDefault="00344408">
            <w:pPr>
              <w:rPr>
                <w:rFonts w:ascii="Calibri" w:hAnsi="Calibri" w:cs="Calibri"/>
                <w:color w:val="000000"/>
                <w:sz w:val="22"/>
                <w:szCs w:val="22"/>
              </w:rPr>
            </w:pPr>
            <w:r>
              <w:rPr>
                <w:rFonts w:ascii="Calibri" w:hAnsi="Calibri" w:cs="Calibri"/>
                <w:noProof/>
                <w:color w:val="000000"/>
                <w:sz w:val="22"/>
                <w:szCs w:val="22"/>
              </w:rPr>
              <mc:AlternateContent>
                <mc:Choice Requires="wps">
                  <w:drawing>
                    <wp:anchor distT="0" distB="0" distL="114300" distR="114300" simplePos="0" relativeHeight="251671040" behindDoc="0" locked="0" layoutInCell="1" allowOverlap="1" wp14:anchorId="2547F82E" wp14:editId="42F1E12D">
                      <wp:simplePos x="0" y="0"/>
                      <wp:positionH relativeFrom="column">
                        <wp:posOffset>62230</wp:posOffset>
                      </wp:positionH>
                      <wp:positionV relativeFrom="paragraph">
                        <wp:posOffset>81280</wp:posOffset>
                      </wp:positionV>
                      <wp:extent cx="1219200" cy="500380"/>
                      <wp:effectExtent l="0" t="0" r="0" b="0"/>
                      <wp:wrapNone/>
                      <wp:docPr id="7" name="Text Box 3">
                        <a:extLst xmlns:a="http://schemas.openxmlformats.org/drawingml/2006/main">
                          <a:ext uri="{FF2B5EF4-FFF2-40B4-BE49-F238E27FC236}">
                            <a16:creationId xmlns:a16="http://schemas.microsoft.com/office/drawing/2014/main" id="{E4867F9B-389C-F42D-5309-CEDF366B2DEE}"/>
                          </a:ext>
                        </a:extLst>
                      </wp:docPr>
                      <wp:cNvGraphicFramePr/>
                      <a:graphic xmlns:a="http://schemas.openxmlformats.org/drawingml/2006/main">
                        <a:graphicData uri="http://schemas.microsoft.com/office/word/2010/wordprocessingShape">
                          <wps:wsp>
                            <wps:cNvSpPr txBox="1"/>
                            <wps:spPr>
                              <a:xfrm>
                                <a:off x="0" y="0"/>
                                <a:ext cx="1219199" cy="500062"/>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7A87CECA" w14:textId="77777777" w:rsidR="00344408" w:rsidRDefault="00344408" w:rsidP="00344408">
                                  <w:pPr>
                                    <w:jc w:val="center"/>
                                    <w:rPr>
                                      <w:rFonts w:asciiTheme="minorHAnsi" w:hAnsi="Calibri" w:cstheme="minorBidi"/>
                                      <w:color w:val="000000" w:themeColor="dark1"/>
                                      <w:sz w:val="22"/>
                                      <w:szCs w:val="22"/>
                                    </w:rPr>
                                  </w:pPr>
                                  <w:r>
                                    <w:rPr>
                                      <w:rFonts w:asciiTheme="minorHAnsi" w:hAnsi="Calibri" w:cstheme="minorBidi"/>
                                      <w:color w:val="000000" w:themeColor="dark1"/>
                                      <w:sz w:val="22"/>
                                      <w:szCs w:val="22"/>
                                    </w:rPr>
                                    <w:t>Lawsuits per 100,000 people*</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2547F82E" id="Text Box 3" o:spid="_x0000_s1029" type="#_x0000_t202" style="position:absolute;margin-left:4.9pt;margin-top:6.4pt;width:96pt;height:39.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" fillcolor="white [3201]" stroked="f">
                      <v:textbox>
                        <w:txbxContent>
                          <w:p w14:paraId="7A87CECA" w14:textId="77777777" w:rsidR="00344408" w:rsidRDefault="00344408" w:rsidP="00344408">
                            <w:pPr>
                              <w:jc w:val="center"/>
                              <w:rPr>
                                <w:rFonts w:asciiTheme="minorHAnsi" w:hAnsi="Calibri" w:cstheme="minorBidi"/>
                                <w:color w:val="000000" w:themeColor="dark1"/>
                                <w:sz w:val="22"/>
                                <w:szCs w:val="22"/>
                              </w:rPr>
                            </w:pPr>
                            <w:r>
                              <w:rPr>
                                <w:rFonts w:asciiTheme="minorHAnsi" w:hAnsi="Calibri" w:cstheme="minorBidi"/>
                                <w:color w:val="000000" w:themeColor="dark1"/>
                                <w:sz w:val="22"/>
                                <w:szCs w:val="22"/>
                              </w:rPr>
                              <w:t>Lawsuits per 100,000 people*</w:t>
                            </w:r>
                          </w:p>
                        </w:txbxContent>
                      </v:textbox>
                    </v:shape>
                  </w:pict>
                </mc:Fallback>
              </mc:AlternateContent>
            </w:r>
            <w:r>
              <w:rPr>
                <w:rFonts w:ascii="Calibri" w:hAnsi="Calibri" w:cs="Calibri"/>
                <w:noProof/>
                <w:color w:val="000000"/>
                <w:sz w:val="22"/>
                <w:szCs w:val="22"/>
              </w:rPr>
              <mc:AlternateContent>
                <mc:Choice Requires="wps">
                  <w:drawing>
                    <wp:anchor distT="0" distB="0" distL="114300" distR="114300" simplePos="0" relativeHeight="251670016" behindDoc="0" locked="0" layoutInCell="1" allowOverlap="1" wp14:anchorId="5508BCD9" wp14:editId="1BABB10F">
                      <wp:simplePos x="0" y="0"/>
                      <wp:positionH relativeFrom="column">
                        <wp:posOffset>690880</wp:posOffset>
                      </wp:positionH>
                      <wp:positionV relativeFrom="paragraph">
                        <wp:posOffset>685800</wp:posOffset>
                      </wp:positionV>
                      <wp:extent cx="604520" cy="1304925"/>
                      <wp:effectExtent l="0" t="0" r="24130" b="28575"/>
                      <wp:wrapNone/>
                      <wp:docPr id="6" name="Rectangle 2">
                        <a:extLst xmlns:a="http://schemas.openxmlformats.org/drawingml/2006/main">
                          <a:ext uri="{FF2B5EF4-FFF2-40B4-BE49-F238E27FC236}">
                            <a16:creationId xmlns:a16="http://schemas.microsoft.com/office/drawing/2014/main" id="{AED5684E-6911-E445-D163-FB5A6C5D3248}"/>
                          </a:ext>
                        </a:extLst>
                      </wp:docPr>
                      <wp:cNvGraphicFramePr/>
                      <a:graphic xmlns:a="http://schemas.openxmlformats.org/drawingml/2006/main">
                        <a:graphicData uri="http://schemas.microsoft.com/office/word/2010/wordprocessingShape">
                          <wps:wsp>
                            <wps:cNvSpPr/>
                            <wps:spPr>
                              <a:xfrm>
                                <a:off x="0" y="0"/>
                                <a:ext cx="595313" cy="1290638"/>
                              </a:xfrm>
                              <a:prstGeom prst="rect">
                                <a:avLst/>
                              </a:prstGeom>
                              <a:solidFill>
                                <a:srgbClr val="C00000"/>
                              </a:solidFill>
                              <a:ln>
                                <a:solidFill>
                                  <a:srgbClr val="C00000"/>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5543D4B9" w14:textId="77777777" w:rsidR="00344408" w:rsidRDefault="00344408" w:rsidP="00344408">
                                  <w:pPr>
                                    <w:rPr>
                                      <w:rFonts w:asciiTheme="minorHAnsi" w:hAnsi="Calibri" w:cstheme="minorBidi"/>
                                      <w:color w:val="FFFFFF" w:themeColor="light1"/>
                                      <w:sz w:val="22"/>
                                      <w:szCs w:val="22"/>
                                    </w:rPr>
                                  </w:pPr>
                                  <w:r>
                                    <w:rPr>
                                      <w:rFonts w:asciiTheme="minorHAnsi" w:hAnsi="Calibri" w:cstheme="minorBidi"/>
                                      <w:color w:val="FFFFFF" w:themeColor="light1"/>
                                      <w:sz w:val="22"/>
                                      <w:szCs w:val="22"/>
                                    </w:rPr>
                                    <w:t>U.S 5806</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5508BCD9" id="Rectangle 2" o:spid="_x0000_s1030" style="position:absolute;margin-left:54.4pt;margin-top:54pt;width:47.6pt;height:102.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" fillcolor="#c00000" strokecolor="#c00000" strokeweight="2pt">
                      <v:textbox>
                        <w:txbxContent>
                          <w:p w14:paraId="5543D4B9" w14:textId="77777777" w:rsidR="00344408" w:rsidRDefault="00344408" w:rsidP="00344408">
                            <w:pPr>
                              <w:rPr>
                                <w:rFonts w:asciiTheme="minorHAnsi" w:hAnsi="Calibri" w:cstheme="minorBidi"/>
                                <w:color w:val="FFFFFF" w:themeColor="light1"/>
                                <w:sz w:val="22"/>
                                <w:szCs w:val="22"/>
                              </w:rPr>
                            </w:pPr>
                            <w:r>
                              <w:rPr>
                                <w:rFonts w:asciiTheme="minorHAnsi" w:hAnsi="Calibri" w:cstheme="minorBidi"/>
                                <w:color w:val="FFFFFF" w:themeColor="light1"/>
                                <w:sz w:val="22"/>
                                <w:szCs w:val="22"/>
                              </w:rPr>
                              <w:t>U.S 5806</w:t>
                            </w:r>
                          </w:p>
                        </w:txbxContent>
                      </v:textbox>
                    </v:rect>
                  </w:pict>
                </mc:Fallback>
              </mc:AlternateContent>
            </w:r>
            <w:r>
              <w:rPr>
                <w:rFonts w:ascii="Calibri" w:hAnsi="Calibri" w:cs="Calibri"/>
                <w:noProof/>
                <w:color w:val="000000"/>
                <w:sz w:val="22"/>
                <w:szCs w:val="22"/>
              </w:rPr>
              <mc:AlternateContent>
                <mc:Choice Requires="wps">
                  <w:drawing>
                    <wp:anchor distT="0" distB="0" distL="114300" distR="114300" simplePos="0" relativeHeight="251668992" behindDoc="0" locked="0" layoutInCell="1" allowOverlap="1" wp14:anchorId="4B41BD41" wp14:editId="2997F8E4">
                      <wp:simplePos x="0" y="0"/>
                      <wp:positionH relativeFrom="column">
                        <wp:posOffset>33020</wp:posOffset>
                      </wp:positionH>
                      <wp:positionV relativeFrom="paragraph">
                        <wp:posOffset>1052830</wp:posOffset>
                      </wp:positionV>
                      <wp:extent cx="604520" cy="928370"/>
                      <wp:effectExtent l="0" t="0" r="24130" b="24130"/>
                      <wp:wrapNone/>
                      <wp:docPr id="5" name="Rectangle 1">
                        <a:extLst xmlns:a="http://schemas.openxmlformats.org/drawingml/2006/main">
                          <a:ext uri="{FF2B5EF4-FFF2-40B4-BE49-F238E27FC236}">
                            <a16:creationId xmlns:a16="http://schemas.microsoft.com/office/drawing/2014/main" id="{1864D357-BC9A-0CA9-6070-9289258897B0}"/>
                          </a:ext>
                        </a:extLst>
                      </wp:docPr>
                      <wp:cNvGraphicFramePr/>
                      <a:graphic xmlns:a="http://schemas.openxmlformats.org/drawingml/2006/main">
                        <a:graphicData uri="http://schemas.microsoft.com/office/word/2010/wordprocessingShape">
                          <wps:wsp>
                            <wps:cNvSpPr/>
                            <wps:spPr>
                              <a:xfrm>
                                <a:off x="0" y="0"/>
                                <a:ext cx="595312" cy="9191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74BB24" w14:textId="77777777" w:rsidR="00344408" w:rsidRDefault="00344408" w:rsidP="00344408">
                                  <w:pPr>
                                    <w:rPr>
                                      <w:rFonts w:asciiTheme="minorHAnsi" w:hAnsi="Calibri" w:cstheme="minorBidi"/>
                                      <w:color w:val="FFFFFF" w:themeColor="light1"/>
                                      <w:sz w:val="22"/>
                                      <w:szCs w:val="22"/>
                                    </w:rPr>
                                  </w:pPr>
                                  <w:r>
                                    <w:rPr>
                                      <w:rFonts w:asciiTheme="minorHAnsi" w:hAnsi="Calibri" w:cstheme="minorBidi"/>
                                      <w:color w:val="FFFFFF" w:themeColor="light1"/>
                                      <w:sz w:val="22"/>
                                      <w:szCs w:val="22"/>
                                    </w:rPr>
                                    <w:t>U.K</w:t>
                                  </w:r>
                                </w:p>
                                <w:p w14:paraId="253C3C88" w14:textId="77777777" w:rsidR="00344408" w:rsidRDefault="00344408" w:rsidP="00344408">
                                  <w:pPr>
                                    <w:rPr>
                                      <w:rFonts w:asciiTheme="minorHAnsi" w:hAnsi="Calibri" w:cstheme="minorBidi"/>
                                      <w:color w:val="FFFFFF" w:themeColor="light1"/>
                                      <w:sz w:val="22"/>
                                      <w:szCs w:val="22"/>
                                    </w:rPr>
                                  </w:pPr>
                                  <w:r>
                                    <w:rPr>
                                      <w:rFonts w:asciiTheme="minorHAnsi" w:hAnsi="Calibri" w:cstheme="minorBidi"/>
                                      <w:color w:val="FFFFFF" w:themeColor="light1"/>
                                      <w:sz w:val="22"/>
                                      <w:szCs w:val="22"/>
                                    </w:rPr>
                                    <w:t>3681</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4B41BD41" id="Rectangle 1" o:spid="_x0000_s1031" style="position:absolute;margin-left:2.6pt;margin-top:82.9pt;width:47.6pt;height:73.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" fillcolor="#4f81bd [3204]" strokecolor="#243f60 [1604]" strokeweight="2pt">
                      <v:textbox>
                        <w:txbxContent>
                          <w:p w14:paraId="7C74BB24" w14:textId="77777777" w:rsidR="00344408" w:rsidRDefault="00344408" w:rsidP="00344408">
                            <w:pPr>
                              <w:rPr>
                                <w:rFonts w:asciiTheme="minorHAnsi" w:hAnsi="Calibri" w:cstheme="minorBidi"/>
                                <w:color w:val="FFFFFF" w:themeColor="light1"/>
                                <w:sz w:val="22"/>
                                <w:szCs w:val="22"/>
                              </w:rPr>
                            </w:pPr>
                            <w:r>
                              <w:rPr>
                                <w:rFonts w:asciiTheme="minorHAnsi" w:hAnsi="Calibri" w:cstheme="minorBidi"/>
                                <w:color w:val="FFFFFF" w:themeColor="light1"/>
                                <w:sz w:val="22"/>
                                <w:szCs w:val="22"/>
                              </w:rPr>
                              <w:t>U.K</w:t>
                            </w:r>
                          </w:p>
                          <w:p w14:paraId="253C3C88" w14:textId="77777777" w:rsidR="00344408" w:rsidRDefault="00344408" w:rsidP="00344408">
                            <w:pPr>
                              <w:rPr>
                                <w:rFonts w:asciiTheme="minorHAnsi" w:hAnsi="Calibri" w:cstheme="minorBidi"/>
                                <w:color w:val="FFFFFF" w:themeColor="light1"/>
                                <w:sz w:val="22"/>
                                <w:szCs w:val="22"/>
                              </w:rPr>
                            </w:pPr>
                            <w:r>
                              <w:rPr>
                                <w:rFonts w:asciiTheme="minorHAnsi" w:hAnsi="Calibri" w:cstheme="minorBidi"/>
                                <w:color w:val="FFFFFF" w:themeColor="light1"/>
                                <w:sz w:val="22"/>
                                <w:szCs w:val="22"/>
                              </w:rPr>
                              <w:t>3681</w:t>
                            </w:r>
                          </w:p>
                        </w:txbxContent>
                      </v:textbox>
                    </v:rect>
                  </w:pict>
                </mc:Fallback>
              </mc:AlternateContent>
            </w:r>
          </w:p>
        </w:tc>
        <w:tc>
          <w:tcPr>
            <w:tcW w:w="416" w:type="dxa"/>
            <w:tcBorders>
              <w:top w:val="nil"/>
              <w:left w:val="nil"/>
              <w:bottom w:val="nil"/>
              <w:right w:val="nil"/>
            </w:tcBorders>
            <w:shd w:val="clear" w:color="auto" w:fill="auto"/>
            <w:noWrap/>
            <w:vAlign w:val="bottom"/>
            <w:hideMark/>
          </w:tcPr>
          <w:p w14:paraId="5406E382" w14:textId="77777777" w:rsidR="00344408" w:rsidRDefault="00344408">
            <w:pPr>
              <w:rPr>
                <w:rFonts w:ascii="Calibri" w:hAnsi="Calibri" w:cs="Calibri"/>
                <w:color w:val="000000"/>
                <w:sz w:val="22"/>
                <w:szCs w:val="22"/>
              </w:rPr>
            </w:pPr>
          </w:p>
        </w:tc>
      </w:tr>
      <w:tr w:rsidR="00344408" w14:paraId="4932AA2E" w14:textId="77777777" w:rsidTr="00344408">
        <w:trPr>
          <w:trHeight w:val="285"/>
        </w:trPr>
        <w:tc>
          <w:tcPr>
            <w:tcW w:w="1036" w:type="dxa"/>
            <w:tcBorders>
              <w:top w:val="nil"/>
              <w:left w:val="nil"/>
              <w:bottom w:val="nil"/>
              <w:right w:val="nil"/>
            </w:tcBorders>
            <w:shd w:val="clear" w:color="auto" w:fill="auto"/>
            <w:noWrap/>
            <w:vAlign w:val="bottom"/>
            <w:hideMark/>
          </w:tcPr>
          <w:p w14:paraId="2DEA1FAB" w14:textId="3F695AE9"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09CDB625"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33D166CF"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0361E3FA"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5D7399F4"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36E5FEF5"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3072C443"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3DE00E37" w14:textId="77777777" w:rsidR="00344408" w:rsidRDefault="00344408">
            <w:pPr>
              <w:rPr>
                <w:sz w:val="20"/>
                <w:szCs w:val="20"/>
              </w:rPr>
            </w:pPr>
          </w:p>
        </w:tc>
        <w:tc>
          <w:tcPr>
            <w:tcW w:w="616" w:type="dxa"/>
            <w:tcBorders>
              <w:top w:val="nil"/>
              <w:left w:val="nil"/>
              <w:bottom w:val="nil"/>
              <w:right w:val="nil"/>
            </w:tcBorders>
            <w:shd w:val="clear" w:color="auto" w:fill="auto"/>
            <w:noWrap/>
            <w:vAlign w:val="bottom"/>
            <w:hideMark/>
          </w:tcPr>
          <w:p w14:paraId="578E1F95" w14:textId="77777777" w:rsidR="00344408" w:rsidRDefault="00344408">
            <w:pPr>
              <w:rPr>
                <w:sz w:val="20"/>
                <w:szCs w:val="20"/>
              </w:rPr>
            </w:pPr>
          </w:p>
        </w:tc>
        <w:tc>
          <w:tcPr>
            <w:tcW w:w="2072" w:type="dxa"/>
            <w:gridSpan w:val="2"/>
            <w:vMerge/>
            <w:tcBorders>
              <w:top w:val="nil"/>
              <w:left w:val="nil"/>
              <w:bottom w:val="nil"/>
              <w:right w:val="nil"/>
            </w:tcBorders>
            <w:vAlign w:val="center"/>
            <w:hideMark/>
          </w:tcPr>
          <w:p w14:paraId="025E7B89" w14:textId="77777777" w:rsidR="00344408" w:rsidRDefault="00344408">
            <w:pPr>
              <w:rPr>
                <w:rFonts w:ascii="Calibri" w:hAnsi="Calibri" w:cs="Calibri"/>
                <w:color w:val="000000"/>
                <w:sz w:val="22"/>
                <w:szCs w:val="22"/>
              </w:rPr>
            </w:pPr>
          </w:p>
        </w:tc>
        <w:tc>
          <w:tcPr>
            <w:tcW w:w="416" w:type="dxa"/>
            <w:tcBorders>
              <w:top w:val="nil"/>
              <w:left w:val="nil"/>
              <w:bottom w:val="nil"/>
              <w:right w:val="nil"/>
            </w:tcBorders>
            <w:shd w:val="clear" w:color="auto" w:fill="auto"/>
            <w:noWrap/>
            <w:vAlign w:val="bottom"/>
            <w:hideMark/>
          </w:tcPr>
          <w:p w14:paraId="7DB5F987" w14:textId="77777777" w:rsidR="00344408" w:rsidRDefault="00344408">
            <w:pPr>
              <w:rPr>
                <w:sz w:val="20"/>
                <w:szCs w:val="20"/>
              </w:rPr>
            </w:pPr>
          </w:p>
        </w:tc>
      </w:tr>
      <w:tr w:rsidR="00344408" w14:paraId="1280AB6F" w14:textId="77777777" w:rsidTr="00344408">
        <w:trPr>
          <w:trHeight w:val="285"/>
        </w:trPr>
        <w:tc>
          <w:tcPr>
            <w:tcW w:w="1036" w:type="dxa"/>
            <w:tcBorders>
              <w:top w:val="nil"/>
              <w:left w:val="nil"/>
              <w:bottom w:val="nil"/>
              <w:right w:val="nil"/>
            </w:tcBorders>
            <w:shd w:val="clear" w:color="auto" w:fill="auto"/>
            <w:noWrap/>
            <w:vAlign w:val="bottom"/>
            <w:hideMark/>
          </w:tcPr>
          <w:p w14:paraId="37B7741D" w14:textId="26806510"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13EE485E"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375AEABB"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35EBE4B2"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35B1558F"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6F2C2111"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0AFD8C61"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3BFF1AD0" w14:textId="77777777" w:rsidR="00344408" w:rsidRDefault="00344408">
            <w:pPr>
              <w:rPr>
                <w:sz w:val="20"/>
                <w:szCs w:val="20"/>
              </w:rPr>
            </w:pPr>
          </w:p>
        </w:tc>
        <w:tc>
          <w:tcPr>
            <w:tcW w:w="616" w:type="dxa"/>
            <w:tcBorders>
              <w:top w:val="nil"/>
              <w:left w:val="nil"/>
              <w:bottom w:val="nil"/>
              <w:right w:val="nil"/>
            </w:tcBorders>
            <w:shd w:val="clear" w:color="auto" w:fill="auto"/>
            <w:noWrap/>
            <w:vAlign w:val="bottom"/>
            <w:hideMark/>
          </w:tcPr>
          <w:p w14:paraId="44B47288" w14:textId="77777777" w:rsidR="00344408" w:rsidRDefault="00344408">
            <w:pPr>
              <w:rPr>
                <w:sz w:val="20"/>
                <w:szCs w:val="20"/>
              </w:rPr>
            </w:pPr>
          </w:p>
        </w:tc>
        <w:tc>
          <w:tcPr>
            <w:tcW w:w="2072" w:type="dxa"/>
            <w:gridSpan w:val="2"/>
            <w:vMerge/>
            <w:tcBorders>
              <w:top w:val="nil"/>
              <w:left w:val="nil"/>
              <w:bottom w:val="nil"/>
              <w:right w:val="nil"/>
            </w:tcBorders>
            <w:vAlign w:val="center"/>
            <w:hideMark/>
          </w:tcPr>
          <w:p w14:paraId="599AA47F" w14:textId="77777777" w:rsidR="00344408" w:rsidRDefault="00344408">
            <w:pPr>
              <w:rPr>
                <w:rFonts w:ascii="Calibri" w:hAnsi="Calibri" w:cs="Calibri"/>
                <w:color w:val="000000"/>
                <w:sz w:val="22"/>
                <w:szCs w:val="22"/>
              </w:rPr>
            </w:pPr>
          </w:p>
        </w:tc>
        <w:tc>
          <w:tcPr>
            <w:tcW w:w="416" w:type="dxa"/>
            <w:tcBorders>
              <w:top w:val="nil"/>
              <w:left w:val="nil"/>
              <w:bottom w:val="nil"/>
              <w:right w:val="nil"/>
            </w:tcBorders>
            <w:shd w:val="clear" w:color="auto" w:fill="auto"/>
            <w:noWrap/>
            <w:vAlign w:val="bottom"/>
            <w:hideMark/>
          </w:tcPr>
          <w:p w14:paraId="1CA574DB" w14:textId="77777777" w:rsidR="00344408" w:rsidRDefault="00344408">
            <w:pPr>
              <w:rPr>
                <w:sz w:val="20"/>
                <w:szCs w:val="20"/>
              </w:rPr>
            </w:pPr>
          </w:p>
        </w:tc>
      </w:tr>
      <w:tr w:rsidR="00344408" w14:paraId="037F62DC" w14:textId="77777777" w:rsidTr="00344408">
        <w:trPr>
          <w:trHeight w:val="285"/>
        </w:trPr>
        <w:tc>
          <w:tcPr>
            <w:tcW w:w="1036" w:type="dxa"/>
            <w:tcBorders>
              <w:top w:val="nil"/>
              <w:left w:val="nil"/>
              <w:bottom w:val="nil"/>
              <w:right w:val="nil"/>
            </w:tcBorders>
            <w:shd w:val="clear" w:color="auto" w:fill="auto"/>
            <w:noWrap/>
            <w:vAlign w:val="bottom"/>
            <w:hideMark/>
          </w:tcPr>
          <w:p w14:paraId="6D3D8BCD"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6D292670"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5EB49756"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511EB9CC"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22CAB51B"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55929929"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740A9741"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55597EE4" w14:textId="77777777" w:rsidR="00344408" w:rsidRDefault="00344408">
            <w:pPr>
              <w:rPr>
                <w:sz w:val="20"/>
                <w:szCs w:val="20"/>
              </w:rPr>
            </w:pPr>
          </w:p>
        </w:tc>
        <w:tc>
          <w:tcPr>
            <w:tcW w:w="616" w:type="dxa"/>
            <w:tcBorders>
              <w:top w:val="nil"/>
              <w:left w:val="nil"/>
              <w:bottom w:val="nil"/>
              <w:right w:val="nil"/>
            </w:tcBorders>
            <w:shd w:val="clear" w:color="auto" w:fill="auto"/>
            <w:noWrap/>
            <w:vAlign w:val="bottom"/>
            <w:hideMark/>
          </w:tcPr>
          <w:p w14:paraId="6565C86B" w14:textId="77777777" w:rsidR="00344408" w:rsidRDefault="00344408">
            <w:pPr>
              <w:rPr>
                <w:sz w:val="20"/>
                <w:szCs w:val="20"/>
              </w:rPr>
            </w:pPr>
          </w:p>
        </w:tc>
        <w:tc>
          <w:tcPr>
            <w:tcW w:w="2072" w:type="dxa"/>
            <w:gridSpan w:val="2"/>
            <w:vMerge/>
            <w:tcBorders>
              <w:top w:val="nil"/>
              <w:left w:val="nil"/>
              <w:bottom w:val="nil"/>
              <w:right w:val="nil"/>
            </w:tcBorders>
            <w:vAlign w:val="center"/>
            <w:hideMark/>
          </w:tcPr>
          <w:p w14:paraId="0CC697AD" w14:textId="77777777" w:rsidR="00344408" w:rsidRDefault="00344408">
            <w:pPr>
              <w:rPr>
                <w:rFonts w:ascii="Calibri" w:hAnsi="Calibri" w:cs="Calibri"/>
                <w:color w:val="000000"/>
                <w:sz w:val="22"/>
                <w:szCs w:val="22"/>
              </w:rPr>
            </w:pPr>
          </w:p>
        </w:tc>
        <w:tc>
          <w:tcPr>
            <w:tcW w:w="416" w:type="dxa"/>
            <w:tcBorders>
              <w:top w:val="nil"/>
              <w:left w:val="nil"/>
              <w:bottom w:val="nil"/>
              <w:right w:val="nil"/>
            </w:tcBorders>
            <w:shd w:val="clear" w:color="auto" w:fill="auto"/>
            <w:noWrap/>
            <w:vAlign w:val="bottom"/>
            <w:hideMark/>
          </w:tcPr>
          <w:p w14:paraId="39B5836B" w14:textId="77777777" w:rsidR="00344408" w:rsidRDefault="00344408">
            <w:pPr>
              <w:rPr>
                <w:sz w:val="20"/>
                <w:szCs w:val="20"/>
              </w:rPr>
            </w:pPr>
          </w:p>
        </w:tc>
      </w:tr>
      <w:tr w:rsidR="00344408" w14:paraId="0ABD6E9A" w14:textId="77777777" w:rsidTr="00344408">
        <w:trPr>
          <w:trHeight w:val="285"/>
        </w:trPr>
        <w:tc>
          <w:tcPr>
            <w:tcW w:w="1036" w:type="dxa"/>
            <w:tcBorders>
              <w:top w:val="nil"/>
              <w:left w:val="nil"/>
              <w:bottom w:val="nil"/>
              <w:right w:val="nil"/>
            </w:tcBorders>
            <w:shd w:val="clear" w:color="auto" w:fill="auto"/>
            <w:noWrap/>
            <w:vAlign w:val="bottom"/>
            <w:hideMark/>
          </w:tcPr>
          <w:p w14:paraId="4900543C"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2CAC521F"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69D73E4F"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017E4EBF"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659F9408"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35FEDBE9"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0D475942"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0537E3C4" w14:textId="77777777" w:rsidR="00344408" w:rsidRDefault="00344408">
            <w:pPr>
              <w:rPr>
                <w:sz w:val="20"/>
                <w:szCs w:val="20"/>
              </w:rPr>
            </w:pPr>
          </w:p>
        </w:tc>
        <w:tc>
          <w:tcPr>
            <w:tcW w:w="616" w:type="dxa"/>
            <w:tcBorders>
              <w:top w:val="nil"/>
              <w:left w:val="nil"/>
              <w:bottom w:val="nil"/>
              <w:right w:val="nil"/>
            </w:tcBorders>
            <w:shd w:val="clear" w:color="auto" w:fill="auto"/>
            <w:noWrap/>
            <w:vAlign w:val="bottom"/>
            <w:hideMark/>
          </w:tcPr>
          <w:p w14:paraId="4C297ED0" w14:textId="77777777" w:rsidR="00344408" w:rsidRDefault="00344408">
            <w:pPr>
              <w:rPr>
                <w:sz w:val="20"/>
                <w:szCs w:val="20"/>
              </w:rPr>
            </w:pPr>
          </w:p>
        </w:tc>
        <w:tc>
          <w:tcPr>
            <w:tcW w:w="2072" w:type="dxa"/>
            <w:gridSpan w:val="2"/>
            <w:vMerge/>
            <w:tcBorders>
              <w:top w:val="nil"/>
              <w:left w:val="nil"/>
              <w:bottom w:val="nil"/>
              <w:right w:val="nil"/>
            </w:tcBorders>
            <w:vAlign w:val="center"/>
            <w:hideMark/>
          </w:tcPr>
          <w:p w14:paraId="6EF2DCA2" w14:textId="77777777" w:rsidR="00344408" w:rsidRDefault="00344408">
            <w:pPr>
              <w:rPr>
                <w:rFonts w:ascii="Calibri" w:hAnsi="Calibri" w:cs="Calibri"/>
                <w:color w:val="000000"/>
                <w:sz w:val="22"/>
                <w:szCs w:val="22"/>
              </w:rPr>
            </w:pPr>
          </w:p>
        </w:tc>
        <w:tc>
          <w:tcPr>
            <w:tcW w:w="416" w:type="dxa"/>
            <w:tcBorders>
              <w:top w:val="nil"/>
              <w:left w:val="nil"/>
              <w:bottom w:val="nil"/>
              <w:right w:val="nil"/>
            </w:tcBorders>
            <w:shd w:val="clear" w:color="auto" w:fill="auto"/>
            <w:noWrap/>
            <w:vAlign w:val="bottom"/>
            <w:hideMark/>
          </w:tcPr>
          <w:p w14:paraId="76072258" w14:textId="77777777" w:rsidR="00344408" w:rsidRDefault="00344408">
            <w:pPr>
              <w:rPr>
                <w:sz w:val="20"/>
                <w:szCs w:val="20"/>
              </w:rPr>
            </w:pPr>
          </w:p>
        </w:tc>
      </w:tr>
      <w:tr w:rsidR="00344408" w14:paraId="22FFBAA7" w14:textId="77777777" w:rsidTr="00344408">
        <w:trPr>
          <w:trHeight w:val="285"/>
        </w:trPr>
        <w:tc>
          <w:tcPr>
            <w:tcW w:w="1036" w:type="dxa"/>
            <w:tcBorders>
              <w:top w:val="nil"/>
              <w:left w:val="nil"/>
              <w:bottom w:val="nil"/>
              <w:right w:val="nil"/>
            </w:tcBorders>
            <w:shd w:val="clear" w:color="auto" w:fill="auto"/>
            <w:noWrap/>
            <w:vAlign w:val="bottom"/>
            <w:hideMark/>
          </w:tcPr>
          <w:p w14:paraId="2048BB53"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21472D88"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42AA6DBB"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1F408909"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09D5D98B"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6C07509B"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6FAC4377"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3EA5217E" w14:textId="77777777" w:rsidR="00344408" w:rsidRDefault="00344408">
            <w:pPr>
              <w:rPr>
                <w:sz w:val="20"/>
                <w:szCs w:val="20"/>
              </w:rPr>
            </w:pPr>
          </w:p>
        </w:tc>
        <w:tc>
          <w:tcPr>
            <w:tcW w:w="616" w:type="dxa"/>
            <w:tcBorders>
              <w:top w:val="nil"/>
              <w:left w:val="nil"/>
              <w:bottom w:val="nil"/>
              <w:right w:val="nil"/>
            </w:tcBorders>
            <w:shd w:val="clear" w:color="auto" w:fill="auto"/>
            <w:noWrap/>
            <w:vAlign w:val="bottom"/>
            <w:hideMark/>
          </w:tcPr>
          <w:p w14:paraId="6002C2F3" w14:textId="77777777" w:rsidR="00344408" w:rsidRDefault="00344408">
            <w:pPr>
              <w:rPr>
                <w:sz w:val="20"/>
                <w:szCs w:val="20"/>
              </w:rPr>
            </w:pPr>
          </w:p>
        </w:tc>
        <w:tc>
          <w:tcPr>
            <w:tcW w:w="2072" w:type="dxa"/>
            <w:gridSpan w:val="2"/>
            <w:vMerge/>
            <w:tcBorders>
              <w:top w:val="nil"/>
              <w:left w:val="nil"/>
              <w:bottom w:val="nil"/>
              <w:right w:val="nil"/>
            </w:tcBorders>
            <w:vAlign w:val="center"/>
            <w:hideMark/>
          </w:tcPr>
          <w:p w14:paraId="64FDDEDC" w14:textId="77777777" w:rsidR="00344408" w:rsidRDefault="00344408">
            <w:pPr>
              <w:rPr>
                <w:rFonts w:ascii="Calibri" w:hAnsi="Calibri" w:cs="Calibri"/>
                <w:color w:val="000000"/>
                <w:sz w:val="22"/>
                <w:szCs w:val="22"/>
              </w:rPr>
            </w:pPr>
          </w:p>
        </w:tc>
        <w:tc>
          <w:tcPr>
            <w:tcW w:w="416" w:type="dxa"/>
            <w:tcBorders>
              <w:top w:val="nil"/>
              <w:left w:val="nil"/>
              <w:bottom w:val="nil"/>
              <w:right w:val="nil"/>
            </w:tcBorders>
            <w:shd w:val="clear" w:color="auto" w:fill="auto"/>
            <w:noWrap/>
            <w:vAlign w:val="bottom"/>
            <w:hideMark/>
          </w:tcPr>
          <w:p w14:paraId="7A5B7E0D" w14:textId="77777777" w:rsidR="00344408" w:rsidRDefault="00344408">
            <w:pPr>
              <w:rPr>
                <w:sz w:val="20"/>
                <w:szCs w:val="20"/>
              </w:rPr>
            </w:pPr>
          </w:p>
        </w:tc>
      </w:tr>
      <w:tr w:rsidR="00344408" w14:paraId="573C852C" w14:textId="77777777" w:rsidTr="00344408">
        <w:trPr>
          <w:trHeight w:val="285"/>
        </w:trPr>
        <w:tc>
          <w:tcPr>
            <w:tcW w:w="1036" w:type="dxa"/>
            <w:tcBorders>
              <w:top w:val="nil"/>
              <w:left w:val="nil"/>
              <w:bottom w:val="nil"/>
              <w:right w:val="nil"/>
            </w:tcBorders>
            <w:shd w:val="clear" w:color="auto" w:fill="auto"/>
            <w:noWrap/>
            <w:vAlign w:val="bottom"/>
            <w:hideMark/>
          </w:tcPr>
          <w:p w14:paraId="47A84AF2"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1E4FFB2F"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7D6408AC"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01AD9D15"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7C6FE5FF"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6BD770C1"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430D9C77"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7C3860E9" w14:textId="77777777" w:rsidR="00344408" w:rsidRDefault="00344408">
            <w:pPr>
              <w:rPr>
                <w:sz w:val="20"/>
                <w:szCs w:val="20"/>
              </w:rPr>
            </w:pPr>
          </w:p>
        </w:tc>
        <w:tc>
          <w:tcPr>
            <w:tcW w:w="616" w:type="dxa"/>
            <w:tcBorders>
              <w:top w:val="nil"/>
              <w:left w:val="nil"/>
              <w:bottom w:val="nil"/>
              <w:right w:val="nil"/>
            </w:tcBorders>
            <w:shd w:val="clear" w:color="auto" w:fill="auto"/>
            <w:noWrap/>
            <w:vAlign w:val="bottom"/>
            <w:hideMark/>
          </w:tcPr>
          <w:p w14:paraId="19EAC920" w14:textId="77777777" w:rsidR="00344408" w:rsidRDefault="00344408">
            <w:pPr>
              <w:rPr>
                <w:sz w:val="20"/>
                <w:szCs w:val="20"/>
              </w:rPr>
            </w:pPr>
          </w:p>
        </w:tc>
        <w:tc>
          <w:tcPr>
            <w:tcW w:w="2072" w:type="dxa"/>
            <w:gridSpan w:val="2"/>
            <w:vMerge/>
            <w:tcBorders>
              <w:top w:val="nil"/>
              <w:left w:val="nil"/>
              <w:bottom w:val="nil"/>
              <w:right w:val="nil"/>
            </w:tcBorders>
            <w:vAlign w:val="center"/>
            <w:hideMark/>
          </w:tcPr>
          <w:p w14:paraId="5F329B7A" w14:textId="77777777" w:rsidR="00344408" w:rsidRDefault="00344408">
            <w:pPr>
              <w:rPr>
                <w:rFonts w:ascii="Calibri" w:hAnsi="Calibri" w:cs="Calibri"/>
                <w:color w:val="000000"/>
                <w:sz w:val="22"/>
                <w:szCs w:val="22"/>
              </w:rPr>
            </w:pPr>
          </w:p>
        </w:tc>
        <w:tc>
          <w:tcPr>
            <w:tcW w:w="416" w:type="dxa"/>
            <w:tcBorders>
              <w:top w:val="nil"/>
              <w:left w:val="nil"/>
              <w:bottom w:val="nil"/>
              <w:right w:val="nil"/>
            </w:tcBorders>
            <w:shd w:val="clear" w:color="auto" w:fill="auto"/>
            <w:noWrap/>
            <w:vAlign w:val="bottom"/>
            <w:hideMark/>
          </w:tcPr>
          <w:p w14:paraId="338382C5" w14:textId="77777777" w:rsidR="00344408" w:rsidRDefault="00344408">
            <w:pPr>
              <w:rPr>
                <w:sz w:val="20"/>
                <w:szCs w:val="20"/>
              </w:rPr>
            </w:pPr>
          </w:p>
        </w:tc>
      </w:tr>
      <w:tr w:rsidR="00344408" w14:paraId="505DFDA2" w14:textId="77777777" w:rsidTr="00344408">
        <w:trPr>
          <w:trHeight w:val="285"/>
        </w:trPr>
        <w:tc>
          <w:tcPr>
            <w:tcW w:w="1036" w:type="dxa"/>
            <w:tcBorders>
              <w:top w:val="nil"/>
              <w:left w:val="nil"/>
              <w:bottom w:val="nil"/>
              <w:right w:val="nil"/>
            </w:tcBorders>
            <w:shd w:val="clear" w:color="auto" w:fill="auto"/>
            <w:noWrap/>
            <w:vAlign w:val="bottom"/>
            <w:hideMark/>
          </w:tcPr>
          <w:p w14:paraId="47CDDF5F"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3FFF190D"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3870E3E3"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5DE33EF9"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71F3C98B"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3087D9B3"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66B779C6"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27C7814A" w14:textId="77777777" w:rsidR="00344408" w:rsidRDefault="00344408">
            <w:pPr>
              <w:rPr>
                <w:sz w:val="20"/>
                <w:szCs w:val="20"/>
              </w:rPr>
            </w:pPr>
          </w:p>
        </w:tc>
        <w:tc>
          <w:tcPr>
            <w:tcW w:w="616" w:type="dxa"/>
            <w:tcBorders>
              <w:top w:val="nil"/>
              <w:left w:val="nil"/>
              <w:bottom w:val="nil"/>
              <w:right w:val="nil"/>
            </w:tcBorders>
            <w:shd w:val="clear" w:color="auto" w:fill="auto"/>
            <w:noWrap/>
            <w:vAlign w:val="bottom"/>
            <w:hideMark/>
          </w:tcPr>
          <w:p w14:paraId="2BB7BDFD" w14:textId="77777777" w:rsidR="00344408" w:rsidRDefault="00344408">
            <w:pPr>
              <w:rPr>
                <w:sz w:val="20"/>
                <w:szCs w:val="20"/>
              </w:rPr>
            </w:pPr>
          </w:p>
        </w:tc>
        <w:tc>
          <w:tcPr>
            <w:tcW w:w="2072" w:type="dxa"/>
            <w:gridSpan w:val="2"/>
            <w:vMerge/>
            <w:tcBorders>
              <w:top w:val="nil"/>
              <w:left w:val="nil"/>
              <w:bottom w:val="nil"/>
              <w:right w:val="nil"/>
            </w:tcBorders>
            <w:vAlign w:val="center"/>
            <w:hideMark/>
          </w:tcPr>
          <w:p w14:paraId="43005F0A" w14:textId="77777777" w:rsidR="00344408" w:rsidRDefault="00344408">
            <w:pPr>
              <w:rPr>
                <w:rFonts w:ascii="Calibri" w:hAnsi="Calibri" w:cs="Calibri"/>
                <w:color w:val="000000"/>
                <w:sz w:val="22"/>
                <w:szCs w:val="22"/>
              </w:rPr>
            </w:pPr>
          </w:p>
        </w:tc>
        <w:tc>
          <w:tcPr>
            <w:tcW w:w="416" w:type="dxa"/>
            <w:tcBorders>
              <w:top w:val="nil"/>
              <w:left w:val="nil"/>
              <w:bottom w:val="nil"/>
              <w:right w:val="nil"/>
            </w:tcBorders>
            <w:shd w:val="clear" w:color="auto" w:fill="auto"/>
            <w:noWrap/>
            <w:vAlign w:val="bottom"/>
            <w:hideMark/>
          </w:tcPr>
          <w:p w14:paraId="004ACB18" w14:textId="77777777" w:rsidR="00344408" w:rsidRDefault="00344408">
            <w:pPr>
              <w:rPr>
                <w:sz w:val="20"/>
                <w:szCs w:val="20"/>
              </w:rPr>
            </w:pPr>
          </w:p>
        </w:tc>
      </w:tr>
      <w:tr w:rsidR="00344408" w14:paraId="6095F184" w14:textId="77777777" w:rsidTr="00344408">
        <w:trPr>
          <w:trHeight w:val="285"/>
        </w:trPr>
        <w:tc>
          <w:tcPr>
            <w:tcW w:w="1036" w:type="dxa"/>
            <w:tcBorders>
              <w:top w:val="nil"/>
              <w:left w:val="nil"/>
              <w:bottom w:val="nil"/>
              <w:right w:val="nil"/>
            </w:tcBorders>
            <w:shd w:val="clear" w:color="auto" w:fill="auto"/>
            <w:noWrap/>
            <w:vAlign w:val="bottom"/>
            <w:hideMark/>
          </w:tcPr>
          <w:p w14:paraId="40D8063F"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3A74714F"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202BB60C"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47F3B5BD"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6B8FE328"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0A0A6B06"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4CB87176"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5AE5A31E" w14:textId="77777777" w:rsidR="00344408" w:rsidRDefault="00344408">
            <w:pPr>
              <w:rPr>
                <w:sz w:val="20"/>
                <w:szCs w:val="20"/>
              </w:rPr>
            </w:pPr>
          </w:p>
        </w:tc>
        <w:tc>
          <w:tcPr>
            <w:tcW w:w="616" w:type="dxa"/>
            <w:tcBorders>
              <w:top w:val="nil"/>
              <w:left w:val="nil"/>
              <w:bottom w:val="nil"/>
              <w:right w:val="nil"/>
            </w:tcBorders>
            <w:shd w:val="clear" w:color="auto" w:fill="auto"/>
            <w:noWrap/>
            <w:vAlign w:val="bottom"/>
            <w:hideMark/>
          </w:tcPr>
          <w:p w14:paraId="36AF9B47" w14:textId="77777777" w:rsidR="00344408" w:rsidRDefault="00344408">
            <w:pPr>
              <w:rPr>
                <w:sz w:val="20"/>
                <w:szCs w:val="20"/>
              </w:rPr>
            </w:pPr>
          </w:p>
        </w:tc>
        <w:tc>
          <w:tcPr>
            <w:tcW w:w="2072" w:type="dxa"/>
            <w:gridSpan w:val="2"/>
            <w:vMerge/>
            <w:tcBorders>
              <w:top w:val="nil"/>
              <w:left w:val="nil"/>
              <w:bottom w:val="nil"/>
              <w:right w:val="nil"/>
            </w:tcBorders>
            <w:vAlign w:val="center"/>
            <w:hideMark/>
          </w:tcPr>
          <w:p w14:paraId="09E4C36B" w14:textId="77777777" w:rsidR="00344408" w:rsidRDefault="00344408">
            <w:pPr>
              <w:rPr>
                <w:rFonts w:ascii="Calibri" w:hAnsi="Calibri" w:cs="Calibri"/>
                <w:color w:val="000000"/>
                <w:sz w:val="22"/>
                <w:szCs w:val="22"/>
              </w:rPr>
            </w:pPr>
          </w:p>
        </w:tc>
        <w:tc>
          <w:tcPr>
            <w:tcW w:w="416" w:type="dxa"/>
            <w:tcBorders>
              <w:top w:val="nil"/>
              <w:left w:val="nil"/>
              <w:bottom w:val="nil"/>
              <w:right w:val="nil"/>
            </w:tcBorders>
            <w:shd w:val="clear" w:color="auto" w:fill="auto"/>
            <w:noWrap/>
            <w:vAlign w:val="bottom"/>
            <w:hideMark/>
          </w:tcPr>
          <w:p w14:paraId="2829A46F" w14:textId="77777777" w:rsidR="00344408" w:rsidRDefault="00344408">
            <w:pPr>
              <w:rPr>
                <w:sz w:val="20"/>
                <w:szCs w:val="20"/>
              </w:rPr>
            </w:pPr>
          </w:p>
        </w:tc>
      </w:tr>
      <w:tr w:rsidR="00344408" w14:paraId="7FB105EF" w14:textId="77777777" w:rsidTr="00344408">
        <w:trPr>
          <w:trHeight w:val="285"/>
        </w:trPr>
        <w:tc>
          <w:tcPr>
            <w:tcW w:w="1036" w:type="dxa"/>
            <w:tcBorders>
              <w:top w:val="nil"/>
              <w:left w:val="nil"/>
              <w:bottom w:val="nil"/>
              <w:right w:val="nil"/>
            </w:tcBorders>
            <w:shd w:val="clear" w:color="auto" w:fill="auto"/>
            <w:noWrap/>
            <w:vAlign w:val="bottom"/>
            <w:hideMark/>
          </w:tcPr>
          <w:p w14:paraId="735F41D2"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286D1292"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7B6E397C"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4EA05111"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7752DF4D"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414D7CEA"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54BE053B"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18DB9BAD" w14:textId="77777777" w:rsidR="00344408" w:rsidRDefault="00344408">
            <w:pPr>
              <w:rPr>
                <w:sz w:val="20"/>
                <w:szCs w:val="20"/>
              </w:rPr>
            </w:pPr>
          </w:p>
        </w:tc>
        <w:tc>
          <w:tcPr>
            <w:tcW w:w="616" w:type="dxa"/>
            <w:tcBorders>
              <w:top w:val="nil"/>
              <w:left w:val="nil"/>
              <w:bottom w:val="nil"/>
              <w:right w:val="nil"/>
            </w:tcBorders>
            <w:shd w:val="clear" w:color="auto" w:fill="auto"/>
            <w:noWrap/>
            <w:vAlign w:val="bottom"/>
            <w:hideMark/>
          </w:tcPr>
          <w:p w14:paraId="3BEFFD43" w14:textId="77777777" w:rsidR="00344408" w:rsidRDefault="00344408">
            <w:pPr>
              <w:rPr>
                <w:sz w:val="20"/>
                <w:szCs w:val="20"/>
              </w:rPr>
            </w:pPr>
          </w:p>
        </w:tc>
        <w:tc>
          <w:tcPr>
            <w:tcW w:w="2072" w:type="dxa"/>
            <w:gridSpan w:val="2"/>
            <w:vMerge/>
            <w:tcBorders>
              <w:top w:val="nil"/>
              <w:left w:val="nil"/>
              <w:bottom w:val="nil"/>
              <w:right w:val="nil"/>
            </w:tcBorders>
            <w:vAlign w:val="center"/>
            <w:hideMark/>
          </w:tcPr>
          <w:p w14:paraId="00D3BCC6" w14:textId="77777777" w:rsidR="00344408" w:rsidRDefault="00344408">
            <w:pPr>
              <w:rPr>
                <w:rFonts w:ascii="Calibri" w:hAnsi="Calibri" w:cs="Calibri"/>
                <w:color w:val="000000"/>
                <w:sz w:val="22"/>
                <w:szCs w:val="22"/>
              </w:rPr>
            </w:pPr>
          </w:p>
        </w:tc>
        <w:tc>
          <w:tcPr>
            <w:tcW w:w="416" w:type="dxa"/>
            <w:tcBorders>
              <w:top w:val="nil"/>
              <w:left w:val="nil"/>
              <w:bottom w:val="nil"/>
              <w:right w:val="nil"/>
            </w:tcBorders>
            <w:shd w:val="clear" w:color="auto" w:fill="auto"/>
            <w:noWrap/>
            <w:vAlign w:val="bottom"/>
            <w:hideMark/>
          </w:tcPr>
          <w:p w14:paraId="55FDABB4" w14:textId="77777777" w:rsidR="00344408" w:rsidRDefault="00344408">
            <w:pPr>
              <w:rPr>
                <w:sz w:val="20"/>
                <w:szCs w:val="20"/>
              </w:rPr>
            </w:pPr>
          </w:p>
        </w:tc>
      </w:tr>
      <w:tr w:rsidR="00344408" w14:paraId="21312280" w14:textId="77777777" w:rsidTr="00344408">
        <w:trPr>
          <w:trHeight w:val="285"/>
        </w:trPr>
        <w:tc>
          <w:tcPr>
            <w:tcW w:w="1036" w:type="dxa"/>
            <w:tcBorders>
              <w:top w:val="nil"/>
              <w:left w:val="nil"/>
              <w:bottom w:val="nil"/>
              <w:right w:val="nil"/>
            </w:tcBorders>
            <w:shd w:val="clear" w:color="auto" w:fill="auto"/>
            <w:noWrap/>
            <w:vAlign w:val="bottom"/>
            <w:hideMark/>
          </w:tcPr>
          <w:p w14:paraId="453D9C8F"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67ABE1CE"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48027D18"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2285D2B8"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02F19DE3"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0A42B40E"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3C024578"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3E2FE8E5" w14:textId="77777777" w:rsidR="00344408" w:rsidRDefault="00344408">
            <w:pPr>
              <w:rPr>
                <w:sz w:val="20"/>
                <w:szCs w:val="20"/>
              </w:rPr>
            </w:pPr>
          </w:p>
        </w:tc>
        <w:tc>
          <w:tcPr>
            <w:tcW w:w="616" w:type="dxa"/>
            <w:tcBorders>
              <w:top w:val="nil"/>
              <w:left w:val="nil"/>
              <w:bottom w:val="nil"/>
              <w:right w:val="nil"/>
            </w:tcBorders>
            <w:shd w:val="clear" w:color="auto" w:fill="auto"/>
            <w:noWrap/>
            <w:vAlign w:val="bottom"/>
            <w:hideMark/>
          </w:tcPr>
          <w:p w14:paraId="4F0681B7" w14:textId="77777777" w:rsidR="00344408" w:rsidRDefault="00344408">
            <w:pPr>
              <w:rPr>
                <w:sz w:val="20"/>
                <w:szCs w:val="20"/>
              </w:rPr>
            </w:pPr>
          </w:p>
        </w:tc>
        <w:tc>
          <w:tcPr>
            <w:tcW w:w="2072" w:type="dxa"/>
            <w:gridSpan w:val="2"/>
            <w:vMerge/>
            <w:tcBorders>
              <w:top w:val="nil"/>
              <w:left w:val="nil"/>
              <w:bottom w:val="nil"/>
              <w:right w:val="nil"/>
            </w:tcBorders>
            <w:vAlign w:val="center"/>
            <w:hideMark/>
          </w:tcPr>
          <w:p w14:paraId="47AB323B" w14:textId="77777777" w:rsidR="00344408" w:rsidRDefault="00344408">
            <w:pPr>
              <w:rPr>
                <w:rFonts w:ascii="Calibri" w:hAnsi="Calibri" w:cs="Calibri"/>
                <w:color w:val="000000"/>
                <w:sz w:val="22"/>
                <w:szCs w:val="22"/>
              </w:rPr>
            </w:pPr>
          </w:p>
        </w:tc>
        <w:tc>
          <w:tcPr>
            <w:tcW w:w="416" w:type="dxa"/>
            <w:tcBorders>
              <w:top w:val="nil"/>
              <w:left w:val="nil"/>
              <w:bottom w:val="nil"/>
              <w:right w:val="nil"/>
            </w:tcBorders>
            <w:shd w:val="clear" w:color="auto" w:fill="auto"/>
            <w:noWrap/>
            <w:vAlign w:val="bottom"/>
            <w:hideMark/>
          </w:tcPr>
          <w:p w14:paraId="0DB2D8BA" w14:textId="77777777" w:rsidR="00344408" w:rsidRDefault="00344408">
            <w:pPr>
              <w:rPr>
                <w:sz w:val="20"/>
                <w:szCs w:val="20"/>
              </w:rPr>
            </w:pPr>
          </w:p>
        </w:tc>
      </w:tr>
      <w:tr w:rsidR="00344408" w14:paraId="45F1049A" w14:textId="77777777" w:rsidTr="00344408">
        <w:trPr>
          <w:trHeight w:val="285"/>
        </w:trPr>
        <w:tc>
          <w:tcPr>
            <w:tcW w:w="1036" w:type="dxa"/>
            <w:tcBorders>
              <w:top w:val="nil"/>
              <w:left w:val="nil"/>
              <w:bottom w:val="nil"/>
              <w:right w:val="nil"/>
            </w:tcBorders>
            <w:shd w:val="clear" w:color="auto" w:fill="auto"/>
            <w:noWrap/>
            <w:vAlign w:val="bottom"/>
            <w:hideMark/>
          </w:tcPr>
          <w:p w14:paraId="7505548D"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68898D12"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7FF5E272"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16FD39BC"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0B9CA0C4"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12D02CEA"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5757B8D7"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5B5AF3E9" w14:textId="77777777" w:rsidR="00344408" w:rsidRDefault="00344408">
            <w:pPr>
              <w:rPr>
                <w:sz w:val="20"/>
                <w:szCs w:val="20"/>
              </w:rPr>
            </w:pPr>
          </w:p>
        </w:tc>
        <w:tc>
          <w:tcPr>
            <w:tcW w:w="616" w:type="dxa"/>
            <w:tcBorders>
              <w:top w:val="nil"/>
              <w:left w:val="nil"/>
              <w:bottom w:val="nil"/>
              <w:right w:val="nil"/>
            </w:tcBorders>
            <w:shd w:val="clear" w:color="auto" w:fill="auto"/>
            <w:noWrap/>
            <w:vAlign w:val="bottom"/>
            <w:hideMark/>
          </w:tcPr>
          <w:p w14:paraId="4B4C0963"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3F10E957"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06D4884C" w14:textId="77777777" w:rsidR="00344408" w:rsidRDefault="00344408">
            <w:pPr>
              <w:rPr>
                <w:sz w:val="20"/>
                <w:szCs w:val="20"/>
              </w:rPr>
            </w:pPr>
          </w:p>
        </w:tc>
        <w:tc>
          <w:tcPr>
            <w:tcW w:w="416" w:type="dxa"/>
            <w:tcBorders>
              <w:top w:val="nil"/>
              <w:left w:val="nil"/>
              <w:bottom w:val="nil"/>
              <w:right w:val="nil"/>
            </w:tcBorders>
            <w:shd w:val="clear" w:color="auto" w:fill="auto"/>
            <w:noWrap/>
            <w:vAlign w:val="bottom"/>
            <w:hideMark/>
          </w:tcPr>
          <w:p w14:paraId="227D8F59" w14:textId="77777777" w:rsidR="00344408" w:rsidRDefault="00344408">
            <w:pPr>
              <w:rPr>
                <w:sz w:val="20"/>
                <w:szCs w:val="20"/>
              </w:rPr>
            </w:pPr>
          </w:p>
        </w:tc>
      </w:tr>
      <w:tr w:rsidR="00344408" w14:paraId="627D2C76" w14:textId="77777777" w:rsidTr="00344408">
        <w:trPr>
          <w:trHeight w:val="285"/>
        </w:trPr>
        <w:tc>
          <w:tcPr>
            <w:tcW w:w="1036" w:type="dxa"/>
            <w:tcBorders>
              <w:top w:val="nil"/>
              <w:left w:val="nil"/>
              <w:bottom w:val="nil"/>
              <w:right w:val="nil"/>
            </w:tcBorders>
            <w:shd w:val="clear" w:color="auto" w:fill="auto"/>
            <w:noWrap/>
            <w:vAlign w:val="bottom"/>
            <w:hideMark/>
          </w:tcPr>
          <w:p w14:paraId="4A4A556C"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20BBE308"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630178BB"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4A817B12"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645B32E9"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19BCF887"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01970B65"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1A9CC596" w14:textId="77777777" w:rsidR="00344408" w:rsidRDefault="00344408">
            <w:pPr>
              <w:rPr>
                <w:sz w:val="20"/>
                <w:szCs w:val="20"/>
              </w:rPr>
            </w:pPr>
          </w:p>
        </w:tc>
        <w:tc>
          <w:tcPr>
            <w:tcW w:w="616" w:type="dxa"/>
            <w:tcBorders>
              <w:top w:val="nil"/>
              <w:left w:val="nil"/>
              <w:bottom w:val="nil"/>
              <w:right w:val="nil"/>
            </w:tcBorders>
            <w:shd w:val="clear" w:color="auto" w:fill="auto"/>
            <w:noWrap/>
            <w:vAlign w:val="bottom"/>
            <w:hideMark/>
          </w:tcPr>
          <w:p w14:paraId="0B54BF33"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4D37ACE1"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6BF00F69" w14:textId="77777777" w:rsidR="00344408" w:rsidRDefault="00344408">
            <w:pPr>
              <w:rPr>
                <w:sz w:val="20"/>
                <w:szCs w:val="20"/>
              </w:rPr>
            </w:pPr>
          </w:p>
        </w:tc>
        <w:tc>
          <w:tcPr>
            <w:tcW w:w="416" w:type="dxa"/>
            <w:tcBorders>
              <w:top w:val="nil"/>
              <w:left w:val="nil"/>
              <w:bottom w:val="nil"/>
              <w:right w:val="nil"/>
            </w:tcBorders>
            <w:shd w:val="clear" w:color="auto" w:fill="auto"/>
            <w:noWrap/>
            <w:vAlign w:val="bottom"/>
            <w:hideMark/>
          </w:tcPr>
          <w:p w14:paraId="738C253B" w14:textId="77777777" w:rsidR="00344408" w:rsidRDefault="00344408">
            <w:pPr>
              <w:rPr>
                <w:sz w:val="20"/>
                <w:szCs w:val="20"/>
              </w:rPr>
            </w:pPr>
          </w:p>
        </w:tc>
      </w:tr>
      <w:tr w:rsidR="00344408" w14:paraId="61FC2593" w14:textId="77777777" w:rsidTr="00344408">
        <w:trPr>
          <w:trHeight w:val="285"/>
        </w:trPr>
        <w:tc>
          <w:tcPr>
            <w:tcW w:w="1036" w:type="dxa"/>
            <w:tcBorders>
              <w:top w:val="nil"/>
              <w:left w:val="nil"/>
              <w:bottom w:val="nil"/>
              <w:right w:val="nil"/>
            </w:tcBorders>
            <w:shd w:val="clear" w:color="auto" w:fill="auto"/>
            <w:noWrap/>
            <w:vAlign w:val="bottom"/>
            <w:hideMark/>
          </w:tcPr>
          <w:p w14:paraId="771F9796"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120744D7"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3BE89C96"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65CBEDF9"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5B754E3C"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3E473966"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4D71E395"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2534A9B1" w14:textId="77777777" w:rsidR="00344408" w:rsidRDefault="00344408">
            <w:pPr>
              <w:rPr>
                <w:sz w:val="20"/>
                <w:szCs w:val="20"/>
              </w:rPr>
            </w:pPr>
          </w:p>
        </w:tc>
        <w:tc>
          <w:tcPr>
            <w:tcW w:w="616" w:type="dxa"/>
            <w:tcBorders>
              <w:top w:val="nil"/>
              <w:left w:val="nil"/>
              <w:bottom w:val="nil"/>
              <w:right w:val="nil"/>
            </w:tcBorders>
            <w:shd w:val="clear" w:color="auto" w:fill="auto"/>
            <w:noWrap/>
            <w:vAlign w:val="bottom"/>
            <w:hideMark/>
          </w:tcPr>
          <w:p w14:paraId="705EA79E"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7A513AB3"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1945F139" w14:textId="77777777" w:rsidR="00344408" w:rsidRDefault="00344408">
            <w:pPr>
              <w:rPr>
                <w:sz w:val="20"/>
                <w:szCs w:val="20"/>
              </w:rPr>
            </w:pPr>
          </w:p>
        </w:tc>
        <w:tc>
          <w:tcPr>
            <w:tcW w:w="416" w:type="dxa"/>
            <w:tcBorders>
              <w:top w:val="nil"/>
              <w:left w:val="nil"/>
              <w:bottom w:val="nil"/>
              <w:right w:val="nil"/>
            </w:tcBorders>
            <w:shd w:val="clear" w:color="auto" w:fill="auto"/>
            <w:noWrap/>
            <w:vAlign w:val="bottom"/>
            <w:hideMark/>
          </w:tcPr>
          <w:p w14:paraId="2B43C57D" w14:textId="77777777" w:rsidR="00344408" w:rsidRDefault="00344408">
            <w:pPr>
              <w:rPr>
                <w:sz w:val="20"/>
                <w:szCs w:val="20"/>
              </w:rPr>
            </w:pPr>
          </w:p>
        </w:tc>
      </w:tr>
      <w:tr w:rsidR="00344408" w14:paraId="73CA0418" w14:textId="77777777" w:rsidTr="00344408">
        <w:trPr>
          <w:trHeight w:val="285"/>
        </w:trPr>
        <w:tc>
          <w:tcPr>
            <w:tcW w:w="1036" w:type="dxa"/>
            <w:tcBorders>
              <w:top w:val="nil"/>
              <w:left w:val="nil"/>
              <w:bottom w:val="nil"/>
              <w:right w:val="nil"/>
            </w:tcBorders>
            <w:shd w:val="clear" w:color="auto" w:fill="auto"/>
            <w:noWrap/>
            <w:vAlign w:val="bottom"/>
            <w:hideMark/>
          </w:tcPr>
          <w:p w14:paraId="213A5817" w14:textId="77777777" w:rsidR="00344408" w:rsidRDefault="00344408">
            <w:pPr>
              <w:rPr>
                <w:sz w:val="20"/>
                <w:szCs w:val="20"/>
              </w:rPr>
            </w:pPr>
          </w:p>
        </w:tc>
        <w:tc>
          <w:tcPr>
            <w:tcW w:w="8904" w:type="dxa"/>
            <w:gridSpan w:val="9"/>
            <w:vMerge w:val="restart"/>
            <w:tcBorders>
              <w:top w:val="nil"/>
              <w:left w:val="nil"/>
              <w:bottom w:val="nil"/>
              <w:right w:val="nil"/>
            </w:tcBorders>
            <w:shd w:val="clear" w:color="auto" w:fill="auto"/>
            <w:vAlign w:val="bottom"/>
            <w:hideMark/>
          </w:tcPr>
          <w:p w14:paraId="56521C1B" w14:textId="77777777" w:rsidR="00344408" w:rsidRDefault="00344408">
            <w:pPr>
              <w:rPr>
                <w:rFonts w:ascii="Calibri" w:hAnsi="Calibri" w:cs="Calibri"/>
                <w:color w:val="000000"/>
                <w:sz w:val="22"/>
                <w:szCs w:val="22"/>
              </w:rPr>
            </w:pPr>
            <w:r>
              <w:rPr>
                <w:rFonts w:ascii="Calibri" w:hAnsi="Calibri" w:cs="Calibri"/>
                <w:color w:val="000000"/>
                <w:sz w:val="22"/>
                <w:szCs w:val="22"/>
              </w:rPr>
              <w:t xml:space="preserve">*Extracted from: Ramseyer, J.M. &amp; Rasmusen, E. B. 2010. Comparative Litigation Rates. John M. Olin </w:t>
            </w:r>
            <w:proofErr w:type="spellStart"/>
            <w:r>
              <w:rPr>
                <w:rFonts w:ascii="Calibri" w:hAnsi="Calibri" w:cs="Calibri"/>
                <w:color w:val="000000"/>
                <w:sz w:val="22"/>
                <w:szCs w:val="22"/>
              </w:rPr>
              <w:t>Center</w:t>
            </w:r>
            <w:proofErr w:type="spellEnd"/>
            <w:r>
              <w:rPr>
                <w:rFonts w:ascii="Calibri" w:hAnsi="Calibri" w:cs="Calibri"/>
                <w:color w:val="000000"/>
                <w:sz w:val="22"/>
                <w:szCs w:val="22"/>
              </w:rPr>
              <w:t xml:space="preserve"> for Law, Economics, and Business – Harvard Law School, Discussion Paper No. 681.</w:t>
            </w:r>
          </w:p>
        </w:tc>
        <w:tc>
          <w:tcPr>
            <w:tcW w:w="1036" w:type="dxa"/>
            <w:tcBorders>
              <w:top w:val="nil"/>
              <w:left w:val="nil"/>
              <w:bottom w:val="nil"/>
              <w:right w:val="nil"/>
            </w:tcBorders>
            <w:shd w:val="clear" w:color="auto" w:fill="auto"/>
            <w:noWrap/>
            <w:vAlign w:val="bottom"/>
            <w:hideMark/>
          </w:tcPr>
          <w:p w14:paraId="270D2907" w14:textId="77777777" w:rsidR="00344408" w:rsidRDefault="00344408">
            <w:pPr>
              <w:rPr>
                <w:rFonts w:ascii="Calibri" w:hAnsi="Calibri" w:cs="Calibri"/>
                <w:color w:val="000000"/>
                <w:sz w:val="22"/>
                <w:szCs w:val="22"/>
              </w:rPr>
            </w:pPr>
          </w:p>
        </w:tc>
        <w:tc>
          <w:tcPr>
            <w:tcW w:w="416" w:type="dxa"/>
            <w:tcBorders>
              <w:top w:val="nil"/>
              <w:left w:val="nil"/>
              <w:bottom w:val="nil"/>
              <w:right w:val="nil"/>
            </w:tcBorders>
            <w:shd w:val="clear" w:color="auto" w:fill="auto"/>
            <w:noWrap/>
            <w:vAlign w:val="bottom"/>
            <w:hideMark/>
          </w:tcPr>
          <w:p w14:paraId="3EEBB6A1" w14:textId="77777777" w:rsidR="00344408" w:rsidRDefault="00344408">
            <w:pPr>
              <w:rPr>
                <w:sz w:val="20"/>
                <w:szCs w:val="20"/>
              </w:rPr>
            </w:pPr>
          </w:p>
        </w:tc>
      </w:tr>
      <w:tr w:rsidR="00344408" w14:paraId="7A9559D8" w14:textId="77777777" w:rsidTr="00344408">
        <w:trPr>
          <w:trHeight w:val="285"/>
        </w:trPr>
        <w:tc>
          <w:tcPr>
            <w:tcW w:w="1036" w:type="dxa"/>
            <w:tcBorders>
              <w:top w:val="nil"/>
              <w:left w:val="nil"/>
              <w:bottom w:val="nil"/>
              <w:right w:val="nil"/>
            </w:tcBorders>
            <w:shd w:val="clear" w:color="auto" w:fill="auto"/>
            <w:noWrap/>
            <w:vAlign w:val="bottom"/>
            <w:hideMark/>
          </w:tcPr>
          <w:p w14:paraId="280C031B" w14:textId="77777777" w:rsidR="00344408" w:rsidRDefault="00344408">
            <w:pPr>
              <w:rPr>
                <w:sz w:val="20"/>
                <w:szCs w:val="20"/>
              </w:rPr>
            </w:pPr>
          </w:p>
        </w:tc>
        <w:tc>
          <w:tcPr>
            <w:tcW w:w="8904" w:type="dxa"/>
            <w:gridSpan w:val="9"/>
            <w:vMerge/>
            <w:tcBorders>
              <w:top w:val="nil"/>
              <w:left w:val="nil"/>
              <w:bottom w:val="nil"/>
              <w:right w:val="nil"/>
            </w:tcBorders>
            <w:vAlign w:val="center"/>
            <w:hideMark/>
          </w:tcPr>
          <w:p w14:paraId="6FDFFC58" w14:textId="77777777" w:rsidR="00344408" w:rsidRDefault="00344408">
            <w:pPr>
              <w:rPr>
                <w:rFonts w:ascii="Calibri" w:hAnsi="Calibri" w:cs="Calibri"/>
                <w:color w:val="000000"/>
                <w:sz w:val="22"/>
                <w:szCs w:val="22"/>
              </w:rPr>
            </w:pPr>
          </w:p>
        </w:tc>
        <w:tc>
          <w:tcPr>
            <w:tcW w:w="1036" w:type="dxa"/>
            <w:tcBorders>
              <w:top w:val="nil"/>
              <w:left w:val="nil"/>
              <w:bottom w:val="nil"/>
              <w:right w:val="nil"/>
            </w:tcBorders>
            <w:shd w:val="clear" w:color="auto" w:fill="auto"/>
            <w:noWrap/>
            <w:vAlign w:val="bottom"/>
            <w:hideMark/>
          </w:tcPr>
          <w:p w14:paraId="7EE0BE7E" w14:textId="77777777" w:rsidR="00344408" w:rsidRDefault="00344408">
            <w:pPr>
              <w:rPr>
                <w:sz w:val="20"/>
                <w:szCs w:val="20"/>
              </w:rPr>
            </w:pPr>
          </w:p>
        </w:tc>
        <w:tc>
          <w:tcPr>
            <w:tcW w:w="416" w:type="dxa"/>
            <w:tcBorders>
              <w:top w:val="nil"/>
              <w:left w:val="nil"/>
              <w:bottom w:val="nil"/>
              <w:right w:val="nil"/>
            </w:tcBorders>
            <w:shd w:val="clear" w:color="auto" w:fill="auto"/>
            <w:noWrap/>
            <w:vAlign w:val="bottom"/>
            <w:hideMark/>
          </w:tcPr>
          <w:p w14:paraId="0EF8D1CD" w14:textId="77777777" w:rsidR="00344408" w:rsidRDefault="00344408">
            <w:pPr>
              <w:rPr>
                <w:sz w:val="20"/>
                <w:szCs w:val="20"/>
              </w:rPr>
            </w:pPr>
          </w:p>
        </w:tc>
      </w:tr>
    </w:tbl>
    <w:p w14:paraId="224863E6" w14:textId="2E9CD196" w:rsidR="00E06AFA" w:rsidRDefault="00E06AFA" w:rsidP="00147084">
      <w:pPr>
        <w:jc w:val="center"/>
        <w:rPr>
          <w:b/>
          <w:bCs/>
        </w:rPr>
      </w:pPr>
    </w:p>
    <w:p w14:paraId="0F53462F" w14:textId="53F77733" w:rsidR="00344408" w:rsidRDefault="00344408">
      <w:pPr>
        <w:spacing w:after="200" w:line="276" w:lineRule="auto"/>
        <w:rPr>
          <w:b/>
          <w:bCs/>
        </w:rPr>
      </w:pPr>
      <w:r>
        <w:rPr>
          <w:b/>
          <w:bCs/>
        </w:rPr>
        <w:br w:type="page"/>
      </w:r>
    </w:p>
    <w:p w14:paraId="57A4AF40" w14:textId="77777777" w:rsidR="006F1B5C" w:rsidRDefault="006F1B5C" w:rsidP="00F276E7">
      <w:pPr>
        <w:jc w:val="center"/>
        <w:rPr>
          <w:b/>
          <w:bCs/>
        </w:rPr>
      </w:pPr>
    </w:p>
    <w:p w14:paraId="6BC18C76" w14:textId="79EE8986" w:rsidR="00E06AFA" w:rsidRPr="00F276E7" w:rsidRDefault="00E06AFA" w:rsidP="00F276E7">
      <w:pPr>
        <w:spacing w:after="360"/>
        <w:jc w:val="center"/>
        <w:rPr>
          <w:b/>
          <w:bCs/>
          <w:sz w:val="22"/>
          <w:szCs w:val="22"/>
        </w:rPr>
      </w:pPr>
      <w:r w:rsidRPr="00F276E7">
        <w:rPr>
          <w:b/>
          <w:bCs/>
          <w:sz w:val="22"/>
          <w:szCs w:val="22"/>
        </w:rPr>
        <w:t xml:space="preserve">Figure </w:t>
      </w:r>
      <w:r w:rsidR="006F1B5C" w:rsidRPr="00F276E7">
        <w:rPr>
          <w:b/>
          <w:bCs/>
          <w:sz w:val="22"/>
          <w:szCs w:val="22"/>
        </w:rPr>
        <w:t>2</w:t>
      </w:r>
      <w:r w:rsidRPr="00F276E7">
        <w:rPr>
          <w:b/>
          <w:bCs/>
          <w:sz w:val="22"/>
          <w:szCs w:val="22"/>
        </w:rPr>
        <w:t xml:space="preserve"> – Probability of recall </w:t>
      </w:r>
      <w:r w:rsidR="006F1B5C" w:rsidRPr="00F276E7">
        <w:rPr>
          <w:b/>
          <w:bCs/>
          <w:sz w:val="22"/>
          <w:szCs w:val="22"/>
        </w:rPr>
        <w:t xml:space="preserve">over time </w:t>
      </w:r>
      <w:r w:rsidRPr="00F276E7">
        <w:rPr>
          <w:b/>
          <w:bCs/>
          <w:sz w:val="22"/>
          <w:szCs w:val="22"/>
        </w:rPr>
        <w:t>in the U.K above Australia</w:t>
      </w:r>
    </w:p>
    <w:tbl>
      <w:tblPr>
        <w:tblW w:w="11392" w:type="dxa"/>
        <w:tblLook w:val="04A0" w:firstRow="1" w:lastRow="0" w:firstColumn="1" w:lastColumn="0" w:noHBand="0" w:noVBand="1"/>
      </w:tblPr>
      <w:tblGrid>
        <w:gridCol w:w="1236"/>
        <w:gridCol w:w="1036"/>
        <w:gridCol w:w="1036"/>
        <w:gridCol w:w="1036"/>
        <w:gridCol w:w="1036"/>
        <w:gridCol w:w="1036"/>
        <w:gridCol w:w="1036"/>
        <w:gridCol w:w="1036"/>
        <w:gridCol w:w="616"/>
        <w:gridCol w:w="1036"/>
        <w:gridCol w:w="1036"/>
        <w:gridCol w:w="416"/>
      </w:tblGrid>
      <w:tr w:rsidR="00344408" w14:paraId="345176DD" w14:textId="77777777" w:rsidTr="00344408">
        <w:trPr>
          <w:trHeight w:val="285"/>
        </w:trPr>
        <w:tc>
          <w:tcPr>
            <w:tcW w:w="1036" w:type="dxa"/>
            <w:tcBorders>
              <w:top w:val="nil"/>
              <w:left w:val="nil"/>
              <w:bottom w:val="nil"/>
              <w:right w:val="nil"/>
            </w:tcBorders>
            <w:shd w:val="clear" w:color="auto" w:fill="auto"/>
            <w:noWrap/>
            <w:vAlign w:val="bottom"/>
            <w:hideMark/>
          </w:tcPr>
          <w:p w14:paraId="4E4C8B5E" w14:textId="3E02676A" w:rsidR="00344408" w:rsidRDefault="00344408">
            <w:pPr>
              <w:rPr>
                <w:rFonts w:ascii="Calibri" w:hAnsi="Calibri" w:cs="Calibri"/>
                <w:color w:val="000000"/>
                <w:sz w:val="22"/>
                <w:szCs w:val="22"/>
                <w:lang w:val="en-US" w:eastAsia="en-US"/>
              </w:rPr>
            </w:pPr>
            <w:r>
              <w:rPr>
                <w:rFonts w:ascii="Calibri" w:hAnsi="Calibri" w:cs="Calibri"/>
                <w:noProof/>
                <w:color w:val="000000"/>
                <w:sz w:val="22"/>
                <w:szCs w:val="22"/>
              </w:rPr>
              <mc:AlternateContent>
                <mc:Choice Requires="wps">
                  <w:drawing>
                    <wp:anchor distT="0" distB="0" distL="114300" distR="114300" simplePos="0" relativeHeight="251684352" behindDoc="0" locked="0" layoutInCell="1" allowOverlap="1" wp14:anchorId="019B2A99" wp14:editId="19FC0C9E">
                      <wp:simplePos x="0" y="0"/>
                      <wp:positionH relativeFrom="column">
                        <wp:posOffset>204470</wp:posOffset>
                      </wp:positionH>
                      <wp:positionV relativeFrom="paragraph">
                        <wp:posOffset>114300</wp:posOffset>
                      </wp:positionV>
                      <wp:extent cx="466725" cy="2653030"/>
                      <wp:effectExtent l="0" t="0" r="9525" b="0"/>
                      <wp:wrapNone/>
                      <wp:docPr id="23" name="Text Box 16">
                        <a:extLst xmlns:a="http://schemas.openxmlformats.org/drawingml/2006/main">
                          <a:ext uri="{FF2B5EF4-FFF2-40B4-BE49-F238E27FC236}">
                            <a16:creationId xmlns:a16="http://schemas.microsoft.com/office/drawing/2014/main" id="{9D2B4D60-9364-45C9-BDFF-B5FF64EE4EA8}"/>
                          </a:ext>
                        </a:extLst>
                      </wp:docPr>
                      <wp:cNvGraphicFramePr/>
                      <a:graphic xmlns:a="http://schemas.openxmlformats.org/drawingml/2006/main">
                        <a:graphicData uri="http://schemas.microsoft.com/office/word/2010/wordprocessingShape">
                          <wps:wsp>
                            <wps:cNvSpPr txBox="1"/>
                            <wps:spPr>
                              <a:xfrm>
                                <a:off x="0" y="0"/>
                                <a:ext cx="2652712" cy="466725"/>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21FE90B6" w14:textId="77777777" w:rsidR="00344408" w:rsidRDefault="00344408" w:rsidP="00344408">
                                  <w:pPr>
                                    <w:rPr>
                                      <w:rFonts w:asciiTheme="minorHAnsi" w:hAnsi="Calibri" w:cstheme="minorBidi"/>
                                      <w:color w:val="000000" w:themeColor="dark1"/>
                                      <w:sz w:val="22"/>
                                      <w:szCs w:val="22"/>
                                    </w:rPr>
                                  </w:pPr>
                                  <w:r>
                                    <w:rPr>
                                      <w:rFonts w:asciiTheme="minorHAnsi" w:hAnsi="Calibri" w:cstheme="minorBidi"/>
                                      <w:color w:val="000000" w:themeColor="dark1"/>
                                      <w:sz w:val="22"/>
                                      <w:szCs w:val="22"/>
                                    </w:rPr>
                                    <w:t xml:space="preserve">Differences in recall </w:t>
                                  </w:r>
                                  <w:proofErr w:type="spellStart"/>
                                  <w:r>
                                    <w:rPr>
                                      <w:rFonts w:asciiTheme="minorHAnsi" w:hAnsi="Calibri" w:cstheme="minorBidi"/>
                                      <w:color w:val="000000" w:themeColor="dark1"/>
                                      <w:sz w:val="22"/>
                                      <w:szCs w:val="22"/>
                                    </w:rPr>
                                    <w:t>probaiblity</w:t>
                                  </w:r>
                                  <w:proofErr w:type="spellEnd"/>
                                  <w:r>
                                    <w:rPr>
                                      <w:rFonts w:asciiTheme="minorHAnsi" w:hAnsi="Calibri" w:cstheme="minorBidi"/>
                                      <w:color w:val="000000" w:themeColor="dark1"/>
                                      <w:sz w:val="22"/>
                                      <w:szCs w:val="22"/>
                                    </w:rPr>
                                    <w:t xml:space="preserve"> over time, between the U.K and Australia.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019B2A99" id="Text Box 16" o:spid="_x0000_s1032" type="#_x0000_t202" style="position:absolute;margin-left:16.1pt;margin-top:9pt;width:36.75pt;height:208.9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" fillcolor="white [3201]" stroked="f">
                      <v:textbox>
                        <w:txbxContent>
                          <w:p w14:paraId="21FE90B6" w14:textId="77777777" w:rsidR="00344408" w:rsidRDefault="00344408" w:rsidP="00344408">
                            <w:pPr>
                              <w:rPr>
                                <w:rFonts w:asciiTheme="minorHAnsi" w:hAnsi="Calibri" w:cstheme="minorBidi"/>
                                <w:color w:val="000000" w:themeColor="dark1"/>
                                <w:sz w:val="22"/>
                                <w:szCs w:val="22"/>
                              </w:rPr>
                            </w:pPr>
                            <w:r>
                              <w:rPr>
                                <w:rFonts w:asciiTheme="minorHAnsi" w:hAnsi="Calibri" w:cstheme="minorBidi"/>
                                <w:color w:val="000000" w:themeColor="dark1"/>
                                <w:sz w:val="22"/>
                                <w:szCs w:val="22"/>
                              </w:rPr>
                              <w:t xml:space="preserve">Differences in recall </w:t>
                            </w:r>
                            <w:proofErr w:type="spellStart"/>
                            <w:r>
                              <w:rPr>
                                <w:rFonts w:asciiTheme="minorHAnsi" w:hAnsi="Calibri" w:cstheme="minorBidi"/>
                                <w:color w:val="000000" w:themeColor="dark1"/>
                                <w:sz w:val="22"/>
                                <w:szCs w:val="22"/>
                              </w:rPr>
                              <w:t>probaiblity</w:t>
                            </w:r>
                            <w:proofErr w:type="spellEnd"/>
                            <w:r>
                              <w:rPr>
                                <w:rFonts w:asciiTheme="minorHAnsi" w:hAnsi="Calibri" w:cstheme="minorBidi"/>
                                <w:color w:val="000000" w:themeColor="dark1"/>
                                <w:sz w:val="22"/>
                                <w:szCs w:val="22"/>
                              </w:rPr>
                              <w:t xml:space="preserve"> over time, between the U.K and Australia.</w:t>
                            </w:r>
                          </w:p>
                        </w:txbxContent>
                      </v:textbox>
                    </v:shape>
                  </w:pict>
                </mc:Fallback>
              </mc:AlternateContent>
            </w:r>
            <w:r>
              <w:rPr>
                <w:rFonts w:ascii="Calibri" w:hAnsi="Calibri" w:cs="Calibri"/>
                <w:noProof/>
                <w:color w:val="000000"/>
                <w:sz w:val="22"/>
                <w:szCs w:val="22"/>
              </w:rPr>
              <w:drawing>
                <wp:anchor distT="0" distB="0" distL="114300" distR="114300" simplePos="0" relativeHeight="251675136" behindDoc="0" locked="0" layoutInCell="1" allowOverlap="1" wp14:anchorId="38BDD1E6" wp14:editId="1F1EA853">
                  <wp:simplePos x="0" y="0"/>
                  <wp:positionH relativeFrom="column">
                    <wp:posOffset>690880</wp:posOffset>
                  </wp:positionH>
                  <wp:positionV relativeFrom="paragraph">
                    <wp:posOffset>-9525</wp:posOffset>
                  </wp:positionV>
                  <wp:extent cx="4585970" cy="2824480"/>
                  <wp:effectExtent l="0" t="0" r="5080" b="13970"/>
                  <wp:wrapNone/>
                  <wp:docPr id="10" name="Chart 15">
                    <a:extLst xmlns:a="http://schemas.openxmlformats.org/drawingml/2006/main">
                      <a:ext uri="{FF2B5EF4-FFF2-40B4-BE49-F238E27FC236}">
                        <a16:creationId xmlns:a16="http://schemas.microsoft.com/office/drawing/2014/main" id="{920FA0BD-0F9C-26EB-FE1C-2133A8CB0D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Pr>
                <w:rFonts w:ascii="Calibri" w:hAnsi="Calibri" w:cs="Calibri"/>
                <w:noProof/>
                <w:color w:val="000000"/>
                <w:sz w:val="22"/>
                <w:szCs w:val="22"/>
              </w:rPr>
              <mc:AlternateContent>
                <mc:Choice Requires="wps">
                  <w:drawing>
                    <wp:anchor distT="0" distB="0" distL="114300" distR="114300" simplePos="0" relativeHeight="251678208" behindDoc="0" locked="0" layoutInCell="1" allowOverlap="1" wp14:anchorId="652A45BC" wp14:editId="3D66D357">
                      <wp:simplePos x="0" y="0"/>
                      <wp:positionH relativeFrom="column">
                        <wp:posOffset>4514850</wp:posOffset>
                      </wp:positionH>
                      <wp:positionV relativeFrom="paragraph">
                        <wp:posOffset>623570</wp:posOffset>
                      </wp:positionV>
                      <wp:extent cx="481330" cy="261620"/>
                      <wp:effectExtent l="0" t="0" r="0" b="5080"/>
                      <wp:wrapNone/>
                      <wp:docPr id="13" name="Text Box 14">
                        <a:extLst xmlns:a="http://schemas.openxmlformats.org/drawingml/2006/main">
                          <a:ext uri="{FF2B5EF4-FFF2-40B4-BE49-F238E27FC236}">
                            <a16:creationId xmlns:a16="http://schemas.microsoft.com/office/drawing/2014/main" id="{25D26008-A94F-648B-864A-B3C545F5B9E8}"/>
                          </a:ext>
                        </a:extLst>
                      </wp:docPr>
                      <wp:cNvGraphicFramePr/>
                      <a:graphic xmlns:a="http://schemas.openxmlformats.org/drawingml/2006/main">
                        <a:graphicData uri="http://schemas.microsoft.com/office/word/2010/wordprocessingShape">
                          <wps:wsp>
                            <wps:cNvSpPr txBox="1"/>
                            <wps:spPr>
                              <a:xfrm>
                                <a:off x="0" y="0"/>
                                <a:ext cx="485773" cy="257174"/>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1DF9057D" w14:textId="77777777" w:rsidR="00344408" w:rsidRDefault="00344408" w:rsidP="00344408">
                                  <w:pPr>
                                    <w:rPr>
                                      <w:rFonts w:asciiTheme="minorHAnsi" w:hAnsi="Calibri" w:cstheme="minorBidi"/>
                                      <w:color w:val="000000" w:themeColor="dark1"/>
                                      <w:sz w:val="22"/>
                                      <w:szCs w:val="22"/>
                                    </w:rPr>
                                  </w:pPr>
                                  <w:r>
                                    <w:rPr>
                                      <w:rFonts w:asciiTheme="minorHAnsi" w:hAnsi="Calibri" w:cstheme="minorBidi"/>
                                      <w:color w:val="000000" w:themeColor="dark1"/>
                                      <w:sz w:val="22"/>
                                      <w:szCs w:val="22"/>
                                    </w:rPr>
                                    <w:t>15%</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652A45BC" id="Text Box 14" o:spid="_x0000_s1033" type="#_x0000_t202" style="position:absolute;margin-left:355.5pt;margin-top:49.1pt;width:37.9pt;height:20.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" fillcolor="white [3201]" stroked="f">
                      <v:textbox>
                        <w:txbxContent>
                          <w:p w14:paraId="1DF9057D" w14:textId="77777777" w:rsidR="00344408" w:rsidRDefault="00344408" w:rsidP="00344408">
                            <w:pPr>
                              <w:rPr>
                                <w:rFonts w:asciiTheme="minorHAnsi" w:hAnsi="Calibri" w:cstheme="minorBidi"/>
                                <w:color w:val="000000" w:themeColor="dark1"/>
                                <w:sz w:val="22"/>
                                <w:szCs w:val="22"/>
                              </w:rPr>
                            </w:pPr>
                            <w:r>
                              <w:rPr>
                                <w:rFonts w:asciiTheme="minorHAnsi" w:hAnsi="Calibri" w:cstheme="minorBidi"/>
                                <w:color w:val="000000" w:themeColor="dark1"/>
                                <w:sz w:val="22"/>
                                <w:szCs w:val="22"/>
                              </w:rPr>
                              <w:t>15%</w:t>
                            </w:r>
                          </w:p>
                        </w:txbxContent>
                      </v:textbox>
                    </v:shape>
                  </w:pict>
                </mc:Fallback>
              </mc:AlternateContent>
            </w:r>
            <w:r>
              <w:rPr>
                <w:rFonts w:ascii="Calibri" w:hAnsi="Calibri" w:cs="Calibri"/>
                <w:noProof/>
                <w:color w:val="000000"/>
                <w:sz w:val="22"/>
                <w:szCs w:val="22"/>
              </w:rPr>
              <mc:AlternateContent>
                <mc:Choice Requires="wps">
                  <w:drawing>
                    <wp:anchor distT="0" distB="0" distL="114300" distR="114300" simplePos="0" relativeHeight="251679232" behindDoc="0" locked="0" layoutInCell="1" allowOverlap="1" wp14:anchorId="21C23928" wp14:editId="242C5BB8">
                      <wp:simplePos x="0" y="0"/>
                      <wp:positionH relativeFrom="column">
                        <wp:posOffset>3371850</wp:posOffset>
                      </wp:positionH>
                      <wp:positionV relativeFrom="paragraph">
                        <wp:posOffset>1133475</wp:posOffset>
                      </wp:positionV>
                      <wp:extent cx="428625" cy="223520"/>
                      <wp:effectExtent l="0" t="0" r="9525" b="5080"/>
                      <wp:wrapNone/>
                      <wp:docPr id="15" name="Text Box 13">
                        <a:extLst xmlns:a="http://schemas.openxmlformats.org/drawingml/2006/main">
                          <a:ext uri="{FF2B5EF4-FFF2-40B4-BE49-F238E27FC236}">
                            <a16:creationId xmlns:a16="http://schemas.microsoft.com/office/drawing/2014/main" id="{093D9269-0620-4413-AA06-4D304B5F2DF8}"/>
                          </a:ext>
                        </a:extLst>
                      </wp:docPr>
                      <wp:cNvGraphicFramePr/>
                      <a:graphic xmlns:a="http://schemas.openxmlformats.org/drawingml/2006/main">
                        <a:graphicData uri="http://schemas.microsoft.com/office/word/2010/wordprocessingShape">
                          <wps:wsp>
                            <wps:cNvSpPr txBox="1"/>
                            <wps:spPr>
                              <a:xfrm>
                                <a:off x="0" y="0"/>
                                <a:ext cx="428624" cy="223838"/>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0E04D02E" w14:textId="77777777" w:rsidR="00344408" w:rsidRDefault="00344408" w:rsidP="00344408">
                                  <w:pPr>
                                    <w:rPr>
                                      <w:rFonts w:asciiTheme="minorHAnsi" w:hAnsi="Calibri" w:cstheme="minorBidi"/>
                                      <w:color w:val="000000" w:themeColor="dark1"/>
                                      <w:sz w:val="22"/>
                                      <w:szCs w:val="22"/>
                                    </w:rPr>
                                  </w:pPr>
                                  <w:r>
                                    <w:rPr>
                                      <w:rFonts w:asciiTheme="minorHAnsi" w:hAnsi="Calibri" w:cstheme="minorBidi"/>
                                      <w:color w:val="000000" w:themeColor="dark1"/>
                                      <w:sz w:val="22"/>
                                      <w:szCs w:val="22"/>
                                    </w:rPr>
                                    <w:t>10%</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21C23928" id="Text Box 13" o:spid="_x0000_s1034" type="#_x0000_t202" style="position:absolute;margin-left:265.5pt;margin-top:89.25pt;width:33.75pt;height:17.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" fillcolor="white [3201]" stroked="f">
                      <v:textbox>
                        <w:txbxContent>
                          <w:p w14:paraId="0E04D02E" w14:textId="77777777" w:rsidR="00344408" w:rsidRDefault="00344408" w:rsidP="00344408">
                            <w:pPr>
                              <w:rPr>
                                <w:rFonts w:asciiTheme="minorHAnsi" w:hAnsi="Calibri" w:cstheme="minorBidi"/>
                                <w:color w:val="000000" w:themeColor="dark1"/>
                                <w:sz w:val="22"/>
                                <w:szCs w:val="22"/>
                              </w:rPr>
                            </w:pPr>
                            <w:r>
                              <w:rPr>
                                <w:rFonts w:asciiTheme="minorHAnsi" w:hAnsi="Calibri" w:cstheme="minorBidi"/>
                                <w:color w:val="000000" w:themeColor="dark1"/>
                                <w:sz w:val="22"/>
                                <w:szCs w:val="22"/>
                              </w:rPr>
                              <w:t>10%</w:t>
                            </w:r>
                          </w:p>
                        </w:txbxContent>
                      </v:textbox>
                    </v:shape>
                  </w:pict>
                </mc:Fallback>
              </mc:AlternateContent>
            </w:r>
            <w:r>
              <w:rPr>
                <w:rFonts w:ascii="Calibri" w:hAnsi="Calibri" w:cs="Calibri"/>
                <w:noProof/>
                <w:color w:val="000000"/>
                <w:sz w:val="22"/>
                <w:szCs w:val="22"/>
              </w:rPr>
              <mc:AlternateContent>
                <mc:Choice Requires="wps">
                  <w:drawing>
                    <wp:anchor distT="0" distB="0" distL="114300" distR="114300" simplePos="0" relativeHeight="251680256" behindDoc="0" locked="0" layoutInCell="1" allowOverlap="1" wp14:anchorId="331770AD" wp14:editId="0DAF6EB2">
                      <wp:simplePos x="0" y="0"/>
                      <wp:positionH relativeFrom="column">
                        <wp:posOffset>2457450</wp:posOffset>
                      </wp:positionH>
                      <wp:positionV relativeFrom="paragraph">
                        <wp:posOffset>1576070</wp:posOffset>
                      </wp:positionV>
                      <wp:extent cx="419100" cy="176530"/>
                      <wp:effectExtent l="0" t="0" r="0" b="0"/>
                      <wp:wrapNone/>
                      <wp:docPr id="16" name="Text Box 12">
                        <a:extLst xmlns:a="http://schemas.openxmlformats.org/drawingml/2006/main">
                          <a:ext uri="{FF2B5EF4-FFF2-40B4-BE49-F238E27FC236}">
                            <a16:creationId xmlns:a16="http://schemas.microsoft.com/office/drawing/2014/main" id="{FF314B7D-98E9-4A5C-842B-0AD3A37E21CE}"/>
                          </a:ext>
                        </a:extLst>
                      </wp:docPr>
                      <wp:cNvGraphicFramePr/>
                      <a:graphic xmlns:a="http://schemas.openxmlformats.org/drawingml/2006/main">
                        <a:graphicData uri="http://schemas.microsoft.com/office/word/2010/wordprocessingShape">
                          <wps:wsp>
                            <wps:cNvSpPr txBox="1"/>
                            <wps:spPr>
                              <a:xfrm>
                                <a:off x="0" y="0"/>
                                <a:ext cx="423863" cy="176212"/>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35621D9" w14:textId="77777777" w:rsidR="00344408" w:rsidRDefault="00344408" w:rsidP="00344408">
                                  <w:pPr>
                                    <w:rPr>
                                      <w:rFonts w:asciiTheme="minorHAnsi" w:hAnsi="Calibri" w:cstheme="minorBidi"/>
                                      <w:color w:val="000000" w:themeColor="dark1"/>
                                      <w:sz w:val="22"/>
                                      <w:szCs w:val="22"/>
                                    </w:rPr>
                                  </w:pPr>
                                  <w:r>
                                    <w:rPr>
                                      <w:rFonts w:asciiTheme="minorHAnsi" w:hAnsi="Calibri" w:cstheme="minorBidi"/>
                                      <w:color w:val="000000" w:themeColor="dark1"/>
                                      <w:sz w:val="22"/>
                                      <w:szCs w:val="22"/>
                                    </w:rPr>
                                    <w:t>5%</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331770AD" id="Text Box 12" o:spid="_x0000_s1035" type="#_x0000_t202" style="position:absolute;margin-left:193.5pt;margin-top:124.1pt;width:33pt;height:13.9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" filled="f" stroked="f">
                      <v:textbox>
                        <w:txbxContent>
                          <w:p w14:paraId="135621D9" w14:textId="77777777" w:rsidR="00344408" w:rsidRDefault="00344408" w:rsidP="00344408">
                            <w:pPr>
                              <w:rPr>
                                <w:rFonts w:asciiTheme="minorHAnsi" w:hAnsi="Calibri" w:cstheme="minorBidi"/>
                                <w:color w:val="000000" w:themeColor="dark1"/>
                                <w:sz w:val="22"/>
                                <w:szCs w:val="22"/>
                              </w:rPr>
                            </w:pPr>
                            <w:r>
                              <w:rPr>
                                <w:rFonts w:asciiTheme="minorHAnsi" w:hAnsi="Calibri" w:cstheme="minorBidi"/>
                                <w:color w:val="000000" w:themeColor="dark1"/>
                                <w:sz w:val="22"/>
                                <w:szCs w:val="22"/>
                              </w:rPr>
                              <w:t>5%</w:t>
                            </w:r>
                          </w:p>
                        </w:txbxContent>
                      </v:textbox>
                    </v:shape>
                  </w:pict>
                </mc:Fallback>
              </mc:AlternateContent>
            </w:r>
            <w:r>
              <w:rPr>
                <w:rFonts w:ascii="Calibri" w:hAnsi="Calibri" w:cs="Calibri"/>
                <w:noProof/>
                <w:color w:val="000000"/>
                <w:sz w:val="22"/>
                <w:szCs w:val="22"/>
              </w:rPr>
              <mc:AlternateContent>
                <mc:Choice Requires="wps">
                  <w:drawing>
                    <wp:anchor distT="0" distB="0" distL="114300" distR="114300" simplePos="0" relativeHeight="251681280" behindDoc="0" locked="0" layoutInCell="1" allowOverlap="1" wp14:anchorId="254A58B8" wp14:editId="4BBC7FF4">
                      <wp:simplePos x="0" y="0"/>
                      <wp:positionH relativeFrom="column">
                        <wp:posOffset>814070</wp:posOffset>
                      </wp:positionH>
                      <wp:positionV relativeFrom="paragraph">
                        <wp:posOffset>2028825</wp:posOffset>
                      </wp:positionV>
                      <wp:extent cx="504825" cy="299720"/>
                      <wp:effectExtent l="0" t="0" r="9525" b="5080"/>
                      <wp:wrapNone/>
                      <wp:docPr id="17" name="Text Box 11">
                        <a:extLst xmlns:a="http://schemas.openxmlformats.org/drawingml/2006/main">
                          <a:ext uri="{FF2B5EF4-FFF2-40B4-BE49-F238E27FC236}">
                            <a16:creationId xmlns:a16="http://schemas.microsoft.com/office/drawing/2014/main" id="{AD80213D-1D94-4A7F-8117-76A43B2F9225}"/>
                          </a:ext>
                        </a:extLst>
                      </wp:docPr>
                      <wp:cNvGraphicFramePr/>
                      <a:graphic xmlns:a="http://schemas.openxmlformats.org/drawingml/2006/main">
                        <a:graphicData uri="http://schemas.microsoft.com/office/word/2010/wordprocessingShape">
                          <wps:wsp>
                            <wps:cNvSpPr txBox="1"/>
                            <wps:spPr>
                              <a:xfrm>
                                <a:off x="0" y="0"/>
                                <a:ext cx="504825" cy="295275"/>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109E9F1E" w14:textId="77777777" w:rsidR="00344408" w:rsidRDefault="00344408" w:rsidP="00344408">
                                  <w:pPr>
                                    <w:rPr>
                                      <w:rFonts w:asciiTheme="minorHAnsi" w:hAnsi="Calibri" w:cstheme="minorBidi"/>
                                      <w:color w:val="000000" w:themeColor="dark1"/>
                                      <w:sz w:val="22"/>
                                      <w:szCs w:val="22"/>
                                    </w:rPr>
                                  </w:pPr>
                                  <w:r>
                                    <w:rPr>
                                      <w:rFonts w:asciiTheme="minorHAnsi" w:hAnsi="Calibri" w:cstheme="minorBidi"/>
                                      <w:color w:val="000000" w:themeColor="dark1"/>
                                      <w:sz w:val="22"/>
                                      <w:szCs w:val="22"/>
                                    </w:rPr>
                                    <w:t>0.2%</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254A58B8" id="Text Box 11" o:spid="_x0000_s1036" type="#_x0000_t202" style="position:absolute;margin-left:64.1pt;margin-top:159.75pt;width:39.75pt;height:23.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" fillcolor="white [3201]" stroked="f">
                      <v:textbox>
                        <w:txbxContent>
                          <w:p w14:paraId="109E9F1E" w14:textId="77777777" w:rsidR="00344408" w:rsidRDefault="00344408" w:rsidP="00344408">
                            <w:pPr>
                              <w:rPr>
                                <w:rFonts w:asciiTheme="minorHAnsi" w:hAnsi="Calibri" w:cstheme="minorBidi"/>
                                <w:color w:val="000000" w:themeColor="dark1"/>
                                <w:sz w:val="22"/>
                                <w:szCs w:val="22"/>
                              </w:rPr>
                            </w:pPr>
                            <w:r>
                              <w:rPr>
                                <w:rFonts w:asciiTheme="minorHAnsi" w:hAnsi="Calibri" w:cstheme="minorBidi"/>
                                <w:color w:val="000000" w:themeColor="dark1"/>
                                <w:sz w:val="22"/>
                                <w:szCs w:val="22"/>
                              </w:rPr>
                              <w:t>0.2%</w:t>
                            </w:r>
                          </w:p>
                        </w:txbxContent>
                      </v:textbox>
                    </v:shape>
                  </w:pict>
                </mc:Fallback>
              </mc:AlternateContent>
            </w:r>
            <w:r>
              <w:rPr>
                <w:rFonts w:ascii="Calibri" w:hAnsi="Calibri" w:cs="Calibri"/>
                <w:noProof/>
                <w:color w:val="000000"/>
                <w:sz w:val="22"/>
                <w:szCs w:val="22"/>
              </w:rPr>
              <mc:AlternateContent>
                <mc:Choice Requires="wps">
                  <w:drawing>
                    <wp:anchor distT="0" distB="0" distL="114300" distR="114300" simplePos="0" relativeHeight="251683328" behindDoc="0" locked="0" layoutInCell="1" allowOverlap="1" wp14:anchorId="303A4357" wp14:editId="155C29C7">
                      <wp:simplePos x="0" y="0"/>
                      <wp:positionH relativeFrom="column">
                        <wp:posOffset>4386580</wp:posOffset>
                      </wp:positionH>
                      <wp:positionV relativeFrom="paragraph">
                        <wp:posOffset>481330</wp:posOffset>
                      </wp:positionV>
                      <wp:extent cx="204470" cy="680720"/>
                      <wp:effectExtent l="19050" t="19050" r="43180" b="43180"/>
                      <wp:wrapNone/>
                      <wp:docPr id="21" name="Arrow: Up-Down 10">
                        <a:extLst xmlns:a="http://schemas.openxmlformats.org/drawingml/2006/main">
                          <a:ext uri="{FF2B5EF4-FFF2-40B4-BE49-F238E27FC236}">
                            <a16:creationId xmlns:a16="http://schemas.microsoft.com/office/drawing/2014/main" id="{862ECC63-09E3-FA69-D3B0-38C83D6A57CC}"/>
                          </a:ext>
                        </a:extLst>
                      </wp:docPr>
                      <wp:cNvGraphicFramePr/>
                      <a:graphic xmlns:a="http://schemas.openxmlformats.org/drawingml/2006/main">
                        <a:graphicData uri="http://schemas.microsoft.com/office/word/2010/wordprocessingShape">
                          <wps:wsp>
                            <wps:cNvSpPr/>
                            <wps:spPr>
                              <a:xfrm>
                                <a:off x="0" y="0"/>
                                <a:ext cx="171449" cy="661987"/>
                              </a:xfrm>
                              <a:prstGeom prst="upDownArrow">
                                <a:avLst/>
                              </a:prstGeom>
                            </wps:spPr>
                            <wps:style>
                              <a:lnRef idx="2">
                                <a:schemeClr val="accent1">
                                  <a:shade val="15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301064EF"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rrow: Up-Down 10" o:spid="_x0000_s1026" type="#_x0000_t70" style="position:absolute;margin-left:345.4pt;margin-top:37.9pt;width:16.1pt;height:53.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" adj=",2797" fillcolor="#4f81bd [3204]" strokecolor="#0a121c [484]" strokeweight="2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020"/>
            </w:tblGrid>
            <w:tr w:rsidR="00344408" w14:paraId="232E089B" w14:textId="77777777">
              <w:trPr>
                <w:trHeight w:val="285"/>
                <w:tblCellSpacing w:w="0" w:type="dxa"/>
              </w:trPr>
              <w:tc>
                <w:tcPr>
                  <w:tcW w:w="1020" w:type="dxa"/>
                  <w:tcBorders>
                    <w:top w:val="nil"/>
                    <w:left w:val="nil"/>
                    <w:bottom w:val="nil"/>
                    <w:right w:val="nil"/>
                  </w:tcBorders>
                  <w:shd w:val="clear" w:color="auto" w:fill="auto"/>
                  <w:noWrap/>
                  <w:vAlign w:val="bottom"/>
                  <w:hideMark/>
                </w:tcPr>
                <w:p w14:paraId="698B61A6" w14:textId="77777777" w:rsidR="00344408" w:rsidRDefault="00344408">
                  <w:pPr>
                    <w:rPr>
                      <w:rFonts w:ascii="Calibri" w:hAnsi="Calibri" w:cs="Calibri"/>
                      <w:color w:val="000000"/>
                      <w:sz w:val="22"/>
                      <w:szCs w:val="22"/>
                    </w:rPr>
                  </w:pPr>
                </w:p>
              </w:tc>
            </w:tr>
          </w:tbl>
          <w:p w14:paraId="380CD9FB" w14:textId="77777777" w:rsidR="00344408" w:rsidRDefault="00344408">
            <w:pPr>
              <w:rPr>
                <w:rFonts w:ascii="Calibri" w:hAnsi="Calibri" w:cs="Calibri"/>
                <w:color w:val="000000"/>
                <w:sz w:val="22"/>
                <w:szCs w:val="22"/>
              </w:rPr>
            </w:pPr>
          </w:p>
        </w:tc>
        <w:tc>
          <w:tcPr>
            <w:tcW w:w="1036" w:type="dxa"/>
            <w:tcBorders>
              <w:top w:val="nil"/>
              <w:left w:val="nil"/>
              <w:bottom w:val="nil"/>
              <w:right w:val="nil"/>
            </w:tcBorders>
            <w:shd w:val="clear" w:color="auto" w:fill="auto"/>
            <w:noWrap/>
            <w:vAlign w:val="bottom"/>
            <w:hideMark/>
          </w:tcPr>
          <w:p w14:paraId="60134A73"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5F1BF691"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4ECEFBE1"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75A1D375"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5C3A1ED9"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3CBE41AD"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69EA5154" w14:textId="77777777" w:rsidR="00344408" w:rsidRDefault="00344408">
            <w:pPr>
              <w:rPr>
                <w:sz w:val="20"/>
                <w:szCs w:val="20"/>
              </w:rPr>
            </w:pPr>
          </w:p>
        </w:tc>
        <w:tc>
          <w:tcPr>
            <w:tcW w:w="616" w:type="dxa"/>
            <w:tcBorders>
              <w:top w:val="nil"/>
              <w:left w:val="nil"/>
              <w:bottom w:val="nil"/>
              <w:right w:val="nil"/>
            </w:tcBorders>
            <w:shd w:val="clear" w:color="auto" w:fill="auto"/>
            <w:noWrap/>
            <w:vAlign w:val="bottom"/>
            <w:hideMark/>
          </w:tcPr>
          <w:p w14:paraId="5D3EE84B"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51626AD9"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47A9EC5C" w14:textId="77777777" w:rsidR="00344408" w:rsidRDefault="00344408">
            <w:pPr>
              <w:rPr>
                <w:sz w:val="20"/>
                <w:szCs w:val="20"/>
              </w:rPr>
            </w:pPr>
          </w:p>
        </w:tc>
        <w:tc>
          <w:tcPr>
            <w:tcW w:w="416" w:type="dxa"/>
            <w:tcBorders>
              <w:top w:val="nil"/>
              <w:left w:val="nil"/>
              <w:bottom w:val="nil"/>
              <w:right w:val="nil"/>
            </w:tcBorders>
            <w:shd w:val="clear" w:color="auto" w:fill="auto"/>
            <w:noWrap/>
            <w:vAlign w:val="bottom"/>
            <w:hideMark/>
          </w:tcPr>
          <w:p w14:paraId="5CDD63FB" w14:textId="77777777" w:rsidR="00344408" w:rsidRDefault="00344408">
            <w:pPr>
              <w:rPr>
                <w:sz w:val="20"/>
                <w:szCs w:val="20"/>
              </w:rPr>
            </w:pPr>
          </w:p>
        </w:tc>
      </w:tr>
      <w:tr w:rsidR="00344408" w14:paraId="4ECE08A3" w14:textId="77777777" w:rsidTr="00344408">
        <w:trPr>
          <w:trHeight w:val="285"/>
        </w:trPr>
        <w:tc>
          <w:tcPr>
            <w:tcW w:w="1036" w:type="dxa"/>
            <w:tcBorders>
              <w:top w:val="nil"/>
              <w:left w:val="nil"/>
              <w:bottom w:val="nil"/>
              <w:right w:val="nil"/>
            </w:tcBorders>
            <w:shd w:val="clear" w:color="auto" w:fill="auto"/>
            <w:noWrap/>
            <w:vAlign w:val="bottom"/>
            <w:hideMark/>
          </w:tcPr>
          <w:p w14:paraId="3449DE98"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10ED2CB0"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75D809A4"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7BF6D122"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46C20F98"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1DDD1901"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46150C96"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3090AC70" w14:textId="77777777" w:rsidR="00344408" w:rsidRDefault="00344408">
            <w:pPr>
              <w:rPr>
                <w:sz w:val="20"/>
                <w:szCs w:val="20"/>
              </w:rPr>
            </w:pPr>
          </w:p>
        </w:tc>
        <w:tc>
          <w:tcPr>
            <w:tcW w:w="616" w:type="dxa"/>
            <w:tcBorders>
              <w:top w:val="nil"/>
              <w:left w:val="nil"/>
              <w:bottom w:val="nil"/>
              <w:right w:val="nil"/>
            </w:tcBorders>
            <w:shd w:val="clear" w:color="auto" w:fill="auto"/>
            <w:noWrap/>
            <w:vAlign w:val="bottom"/>
            <w:hideMark/>
          </w:tcPr>
          <w:p w14:paraId="39340547"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1BBB3E4D"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7951CAB7" w14:textId="77777777" w:rsidR="00344408" w:rsidRDefault="00344408">
            <w:pPr>
              <w:rPr>
                <w:sz w:val="20"/>
                <w:szCs w:val="20"/>
              </w:rPr>
            </w:pPr>
          </w:p>
        </w:tc>
        <w:tc>
          <w:tcPr>
            <w:tcW w:w="416" w:type="dxa"/>
            <w:tcBorders>
              <w:top w:val="nil"/>
              <w:left w:val="nil"/>
              <w:bottom w:val="nil"/>
              <w:right w:val="nil"/>
            </w:tcBorders>
            <w:shd w:val="clear" w:color="auto" w:fill="auto"/>
            <w:noWrap/>
            <w:vAlign w:val="bottom"/>
            <w:hideMark/>
          </w:tcPr>
          <w:p w14:paraId="51DAB7E7" w14:textId="77777777" w:rsidR="00344408" w:rsidRDefault="00344408">
            <w:pPr>
              <w:rPr>
                <w:sz w:val="20"/>
                <w:szCs w:val="20"/>
              </w:rPr>
            </w:pPr>
          </w:p>
        </w:tc>
      </w:tr>
      <w:tr w:rsidR="00344408" w14:paraId="137B5626" w14:textId="77777777" w:rsidTr="00344408">
        <w:trPr>
          <w:trHeight w:val="285"/>
        </w:trPr>
        <w:tc>
          <w:tcPr>
            <w:tcW w:w="1036" w:type="dxa"/>
            <w:tcBorders>
              <w:top w:val="nil"/>
              <w:left w:val="nil"/>
              <w:bottom w:val="nil"/>
              <w:right w:val="nil"/>
            </w:tcBorders>
            <w:shd w:val="clear" w:color="auto" w:fill="auto"/>
            <w:noWrap/>
            <w:vAlign w:val="bottom"/>
            <w:hideMark/>
          </w:tcPr>
          <w:p w14:paraId="512E2862"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72D02944"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36CC0499"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4BD934D4"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66CC7B49"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4DA28A4B"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6FA032DD"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6FCC3D65" w14:textId="77777777" w:rsidR="00344408" w:rsidRDefault="00344408">
            <w:pPr>
              <w:rPr>
                <w:sz w:val="20"/>
                <w:szCs w:val="20"/>
              </w:rPr>
            </w:pPr>
          </w:p>
        </w:tc>
        <w:tc>
          <w:tcPr>
            <w:tcW w:w="616" w:type="dxa"/>
            <w:tcBorders>
              <w:top w:val="nil"/>
              <w:left w:val="nil"/>
              <w:bottom w:val="nil"/>
              <w:right w:val="nil"/>
            </w:tcBorders>
            <w:shd w:val="clear" w:color="auto" w:fill="auto"/>
            <w:noWrap/>
            <w:vAlign w:val="bottom"/>
            <w:hideMark/>
          </w:tcPr>
          <w:p w14:paraId="095C484D"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344E6826"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3EFE39CB" w14:textId="77777777" w:rsidR="00344408" w:rsidRDefault="00344408">
            <w:pPr>
              <w:rPr>
                <w:sz w:val="20"/>
                <w:szCs w:val="20"/>
              </w:rPr>
            </w:pPr>
          </w:p>
        </w:tc>
        <w:tc>
          <w:tcPr>
            <w:tcW w:w="416" w:type="dxa"/>
            <w:tcBorders>
              <w:top w:val="nil"/>
              <w:left w:val="nil"/>
              <w:bottom w:val="nil"/>
              <w:right w:val="nil"/>
            </w:tcBorders>
            <w:shd w:val="clear" w:color="auto" w:fill="auto"/>
            <w:noWrap/>
            <w:vAlign w:val="bottom"/>
            <w:hideMark/>
          </w:tcPr>
          <w:p w14:paraId="39FBFF3B" w14:textId="77777777" w:rsidR="00344408" w:rsidRDefault="00344408">
            <w:pPr>
              <w:rPr>
                <w:sz w:val="20"/>
                <w:szCs w:val="20"/>
              </w:rPr>
            </w:pPr>
          </w:p>
        </w:tc>
      </w:tr>
      <w:tr w:rsidR="00344408" w14:paraId="0156AFDF" w14:textId="77777777" w:rsidTr="00344408">
        <w:trPr>
          <w:trHeight w:val="285"/>
        </w:trPr>
        <w:tc>
          <w:tcPr>
            <w:tcW w:w="1036" w:type="dxa"/>
            <w:tcBorders>
              <w:top w:val="nil"/>
              <w:left w:val="nil"/>
              <w:bottom w:val="nil"/>
              <w:right w:val="nil"/>
            </w:tcBorders>
            <w:shd w:val="clear" w:color="auto" w:fill="auto"/>
            <w:noWrap/>
            <w:vAlign w:val="bottom"/>
            <w:hideMark/>
          </w:tcPr>
          <w:p w14:paraId="7DA4AFDD"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31FBBD1A"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21926630"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08670DD1"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7489BE40"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63548759"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3CD942F7"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75EACB34" w14:textId="77777777" w:rsidR="00344408" w:rsidRDefault="00344408">
            <w:pPr>
              <w:rPr>
                <w:sz w:val="20"/>
                <w:szCs w:val="20"/>
              </w:rPr>
            </w:pPr>
          </w:p>
        </w:tc>
        <w:tc>
          <w:tcPr>
            <w:tcW w:w="616" w:type="dxa"/>
            <w:tcBorders>
              <w:top w:val="nil"/>
              <w:left w:val="nil"/>
              <w:bottom w:val="nil"/>
              <w:right w:val="nil"/>
            </w:tcBorders>
            <w:shd w:val="clear" w:color="auto" w:fill="auto"/>
            <w:noWrap/>
            <w:vAlign w:val="bottom"/>
            <w:hideMark/>
          </w:tcPr>
          <w:p w14:paraId="4B82830D" w14:textId="77777777" w:rsidR="00344408" w:rsidRDefault="00344408">
            <w:pPr>
              <w:rPr>
                <w:sz w:val="20"/>
                <w:szCs w:val="20"/>
              </w:rPr>
            </w:pPr>
          </w:p>
        </w:tc>
        <w:tc>
          <w:tcPr>
            <w:tcW w:w="2488" w:type="dxa"/>
            <w:gridSpan w:val="3"/>
            <w:vMerge w:val="restart"/>
            <w:tcBorders>
              <w:top w:val="nil"/>
              <w:left w:val="nil"/>
              <w:bottom w:val="nil"/>
              <w:right w:val="nil"/>
            </w:tcBorders>
            <w:shd w:val="clear" w:color="auto" w:fill="auto"/>
            <w:noWrap/>
            <w:vAlign w:val="bottom"/>
            <w:hideMark/>
          </w:tcPr>
          <w:p w14:paraId="68EA589F" w14:textId="201943B3" w:rsidR="00344408" w:rsidRDefault="00344408">
            <w:pPr>
              <w:rPr>
                <w:rFonts w:ascii="Calibri" w:hAnsi="Calibri" w:cs="Calibri"/>
                <w:color w:val="000000"/>
                <w:sz w:val="22"/>
                <w:szCs w:val="22"/>
              </w:rPr>
            </w:pPr>
            <w:r>
              <w:rPr>
                <w:rFonts w:ascii="Calibri" w:hAnsi="Calibri" w:cs="Calibri"/>
                <w:noProof/>
                <w:color w:val="000000"/>
                <w:sz w:val="22"/>
                <w:szCs w:val="22"/>
              </w:rPr>
              <mc:AlternateContent>
                <mc:Choice Requires="wps">
                  <w:drawing>
                    <wp:anchor distT="0" distB="0" distL="114300" distR="114300" simplePos="0" relativeHeight="251682304" behindDoc="0" locked="0" layoutInCell="1" allowOverlap="1" wp14:anchorId="463638CC" wp14:editId="45F3BA53">
                      <wp:simplePos x="0" y="0"/>
                      <wp:positionH relativeFrom="column">
                        <wp:posOffset>161925</wp:posOffset>
                      </wp:positionH>
                      <wp:positionV relativeFrom="paragraph">
                        <wp:posOffset>95250</wp:posOffset>
                      </wp:positionV>
                      <wp:extent cx="952500" cy="500380"/>
                      <wp:effectExtent l="0" t="0" r="0" b="0"/>
                      <wp:wrapNone/>
                      <wp:docPr id="18" name="Text Box 9">
                        <a:extLst xmlns:a="http://schemas.openxmlformats.org/drawingml/2006/main">
                          <a:ext uri="{FF2B5EF4-FFF2-40B4-BE49-F238E27FC236}">
                            <a16:creationId xmlns:a16="http://schemas.microsoft.com/office/drawing/2014/main" id="{63E5D55F-A4EF-4D32-AF25-159194520523}"/>
                          </a:ext>
                        </a:extLst>
                      </wp:docPr>
                      <wp:cNvGraphicFramePr/>
                      <a:graphic xmlns:a="http://schemas.openxmlformats.org/drawingml/2006/main">
                        <a:graphicData uri="http://schemas.microsoft.com/office/word/2010/wordprocessingShape">
                          <wps:wsp>
                            <wps:cNvSpPr txBox="1"/>
                            <wps:spPr>
                              <a:xfrm>
                                <a:off x="0" y="0"/>
                                <a:ext cx="947738" cy="500062"/>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6C58A75B" w14:textId="77777777" w:rsidR="00344408" w:rsidRDefault="00344408" w:rsidP="00344408">
                                  <w:pPr>
                                    <w:jc w:val="center"/>
                                    <w:rPr>
                                      <w:rFonts w:asciiTheme="minorHAnsi" w:hAnsi="Calibri" w:cstheme="minorBidi"/>
                                      <w:color w:val="000000" w:themeColor="dark1"/>
                                      <w:sz w:val="22"/>
                                      <w:szCs w:val="22"/>
                                    </w:rPr>
                                  </w:pPr>
                                  <w:r>
                                    <w:rPr>
                                      <w:rFonts w:asciiTheme="minorHAnsi" w:hAnsi="Calibri" w:cstheme="minorBidi"/>
                                      <w:color w:val="000000" w:themeColor="dark1"/>
                                      <w:sz w:val="22"/>
                                      <w:szCs w:val="22"/>
                                    </w:rPr>
                                    <w:t>Lawsuits per 100,000 people*</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463638CC" id="Text Box 9" o:spid="_x0000_s1037" type="#_x0000_t202" style="position:absolute;margin-left:12.75pt;margin-top:7.5pt;width:75pt;height:39.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" fillcolor="white [3201]" stroked="f">
                      <v:textbox>
                        <w:txbxContent>
                          <w:p w14:paraId="6C58A75B" w14:textId="77777777" w:rsidR="00344408" w:rsidRDefault="00344408" w:rsidP="00344408">
                            <w:pPr>
                              <w:jc w:val="center"/>
                              <w:rPr>
                                <w:rFonts w:asciiTheme="minorHAnsi" w:hAnsi="Calibri" w:cstheme="minorBidi"/>
                                <w:color w:val="000000" w:themeColor="dark1"/>
                                <w:sz w:val="22"/>
                                <w:szCs w:val="22"/>
                              </w:rPr>
                            </w:pPr>
                            <w:r>
                              <w:rPr>
                                <w:rFonts w:asciiTheme="minorHAnsi" w:hAnsi="Calibri" w:cstheme="minorBidi"/>
                                <w:color w:val="000000" w:themeColor="dark1"/>
                                <w:sz w:val="22"/>
                                <w:szCs w:val="22"/>
                              </w:rPr>
                              <w:t>Lawsuits per 100,000 people*</w:t>
                            </w:r>
                          </w:p>
                        </w:txbxContent>
                      </v:textbox>
                    </v:shape>
                  </w:pict>
                </mc:Fallback>
              </mc:AlternateContent>
            </w:r>
            <w:r>
              <w:rPr>
                <w:rFonts w:ascii="Calibri" w:hAnsi="Calibri" w:cs="Calibri"/>
                <w:noProof/>
                <w:color w:val="000000"/>
                <w:sz w:val="22"/>
                <w:szCs w:val="22"/>
              </w:rPr>
              <mc:AlternateContent>
                <mc:Choice Requires="wps">
                  <w:drawing>
                    <wp:anchor distT="0" distB="0" distL="114300" distR="114300" simplePos="0" relativeHeight="251676160" behindDoc="0" locked="0" layoutInCell="1" allowOverlap="1" wp14:anchorId="292DBBEF" wp14:editId="752D3FBF">
                      <wp:simplePos x="0" y="0"/>
                      <wp:positionH relativeFrom="column">
                        <wp:posOffset>13970</wp:posOffset>
                      </wp:positionH>
                      <wp:positionV relativeFrom="paragraph">
                        <wp:posOffset>685800</wp:posOffset>
                      </wp:positionV>
                      <wp:extent cx="576580" cy="928370"/>
                      <wp:effectExtent l="0" t="0" r="13970" b="24130"/>
                      <wp:wrapNone/>
                      <wp:docPr id="11" name="Rectangle 8">
                        <a:extLst xmlns:a="http://schemas.openxmlformats.org/drawingml/2006/main">
                          <a:ext uri="{FF2B5EF4-FFF2-40B4-BE49-F238E27FC236}">
                            <a16:creationId xmlns:a16="http://schemas.microsoft.com/office/drawing/2014/main" id="{9ABA9152-2B27-4B88-BB6C-FAC5784946B5}"/>
                          </a:ext>
                        </a:extLst>
                      </wp:docPr>
                      <wp:cNvGraphicFramePr/>
                      <a:graphic xmlns:a="http://schemas.openxmlformats.org/drawingml/2006/main">
                        <a:graphicData uri="http://schemas.microsoft.com/office/word/2010/wordprocessingShape">
                          <wps:wsp>
                            <wps:cNvSpPr/>
                            <wps:spPr>
                              <a:xfrm>
                                <a:off x="0" y="0"/>
                                <a:ext cx="557213" cy="9191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FA345D" w14:textId="77777777" w:rsidR="00344408" w:rsidRDefault="00344408" w:rsidP="00344408">
                                  <w:pPr>
                                    <w:rPr>
                                      <w:rFonts w:asciiTheme="minorHAnsi" w:hAnsi="Calibri" w:cstheme="minorBidi"/>
                                      <w:color w:val="FFFFFF" w:themeColor="light1"/>
                                      <w:sz w:val="22"/>
                                      <w:szCs w:val="22"/>
                                    </w:rPr>
                                  </w:pPr>
                                  <w:r>
                                    <w:rPr>
                                      <w:rFonts w:asciiTheme="minorHAnsi" w:hAnsi="Calibri" w:cstheme="minorBidi"/>
                                      <w:color w:val="FFFFFF" w:themeColor="light1"/>
                                      <w:sz w:val="22"/>
                                      <w:szCs w:val="22"/>
                                    </w:rPr>
                                    <w:t>U.K</w:t>
                                  </w:r>
                                </w:p>
                                <w:p w14:paraId="60B7BCAF" w14:textId="77777777" w:rsidR="00344408" w:rsidRDefault="00344408" w:rsidP="00344408">
                                  <w:pPr>
                                    <w:rPr>
                                      <w:rFonts w:asciiTheme="minorHAnsi" w:hAnsi="Calibri" w:cstheme="minorBidi"/>
                                      <w:color w:val="FFFFFF" w:themeColor="light1"/>
                                      <w:sz w:val="22"/>
                                      <w:szCs w:val="22"/>
                                    </w:rPr>
                                  </w:pPr>
                                  <w:r>
                                    <w:rPr>
                                      <w:rFonts w:asciiTheme="minorHAnsi" w:hAnsi="Calibri" w:cstheme="minorBidi"/>
                                      <w:color w:val="FFFFFF" w:themeColor="light1"/>
                                      <w:sz w:val="22"/>
                                      <w:szCs w:val="22"/>
                                    </w:rPr>
                                    <w:t>3681</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292DBBEF" id="Rectangle 8" o:spid="_x0000_s1038" style="position:absolute;margin-left:1.1pt;margin-top:54pt;width:45.4pt;height:73.1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" fillcolor="#4f81bd [3204]" strokecolor="#243f60 [1604]" strokeweight="2pt">
                      <v:textbox>
                        <w:txbxContent>
                          <w:p w14:paraId="73FA345D" w14:textId="77777777" w:rsidR="00344408" w:rsidRDefault="00344408" w:rsidP="00344408">
                            <w:pPr>
                              <w:rPr>
                                <w:rFonts w:asciiTheme="minorHAnsi" w:hAnsi="Calibri" w:cstheme="minorBidi"/>
                                <w:color w:val="FFFFFF" w:themeColor="light1"/>
                                <w:sz w:val="22"/>
                                <w:szCs w:val="22"/>
                              </w:rPr>
                            </w:pPr>
                            <w:r>
                              <w:rPr>
                                <w:rFonts w:asciiTheme="minorHAnsi" w:hAnsi="Calibri" w:cstheme="minorBidi"/>
                                <w:color w:val="FFFFFF" w:themeColor="light1"/>
                                <w:sz w:val="22"/>
                                <w:szCs w:val="22"/>
                              </w:rPr>
                              <w:t>U.K</w:t>
                            </w:r>
                          </w:p>
                          <w:p w14:paraId="60B7BCAF" w14:textId="77777777" w:rsidR="00344408" w:rsidRDefault="00344408" w:rsidP="00344408">
                            <w:pPr>
                              <w:rPr>
                                <w:rFonts w:asciiTheme="minorHAnsi" w:hAnsi="Calibri" w:cstheme="minorBidi"/>
                                <w:color w:val="FFFFFF" w:themeColor="light1"/>
                                <w:sz w:val="22"/>
                                <w:szCs w:val="22"/>
                              </w:rPr>
                            </w:pPr>
                            <w:r>
                              <w:rPr>
                                <w:rFonts w:asciiTheme="minorHAnsi" w:hAnsi="Calibri" w:cstheme="minorBidi"/>
                                <w:color w:val="FFFFFF" w:themeColor="light1"/>
                                <w:sz w:val="22"/>
                                <w:szCs w:val="22"/>
                              </w:rPr>
                              <w:t>3681</w:t>
                            </w:r>
                          </w:p>
                        </w:txbxContent>
                      </v:textbox>
                    </v:rect>
                  </w:pict>
                </mc:Fallback>
              </mc:AlternateContent>
            </w:r>
            <w:r>
              <w:rPr>
                <w:rFonts w:ascii="Calibri" w:hAnsi="Calibri" w:cs="Calibri"/>
                <w:noProof/>
                <w:color w:val="000000"/>
                <w:sz w:val="22"/>
                <w:szCs w:val="22"/>
              </w:rPr>
              <mc:AlternateContent>
                <mc:Choice Requires="wps">
                  <w:drawing>
                    <wp:anchor distT="0" distB="0" distL="114300" distR="114300" simplePos="0" relativeHeight="251677184" behindDoc="0" locked="0" layoutInCell="1" allowOverlap="1" wp14:anchorId="5A8F80C9" wp14:editId="180723EF">
                      <wp:simplePos x="0" y="0"/>
                      <wp:positionH relativeFrom="column">
                        <wp:posOffset>690880</wp:posOffset>
                      </wp:positionH>
                      <wp:positionV relativeFrom="paragraph">
                        <wp:posOffset>995680</wp:posOffset>
                      </wp:positionV>
                      <wp:extent cx="709930" cy="619125"/>
                      <wp:effectExtent l="0" t="0" r="13970" b="28575"/>
                      <wp:wrapNone/>
                      <wp:docPr id="12" name="Rectangle 7">
                        <a:extLst xmlns:a="http://schemas.openxmlformats.org/drawingml/2006/main">
                          <a:ext uri="{FF2B5EF4-FFF2-40B4-BE49-F238E27FC236}">
                            <a16:creationId xmlns:a16="http://schemas.microsoft.com/office/drawing/2014/main" id="{F5ABE255-4778-45F4-8539-6F0F8B2236FC}"/>
                          </a:ext>
                        </a:extLst>
                      </wp:docPr>
                      <wp:cNvGraphicFramePr/>
                      <a:graphic xmlns:a="http://schemas.openxmlformats.org/drawingml/2006/main">
                        <a:graphicData uri="http://schemas.microsoft.com/office/word/2010/wordprocessingShape">
                          <wps:wsp>
                            <wps:cNvSpPr/>
                            <wps:spPr>
                              <a:xfrm>
                                <a:off x="0" y="0"/>
                                <a:ext cx="695326" cy="600076"/>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86150B" w14:textId="77777777" w:rsidR="00344408" w:rsidRDefault="00344408" w:rsidP="00344408">
                                  <w:pPr>
                                    <w:rPr>
                                      <w:rFonts w:asciiTheme="minorHAnsi" w:hAnsi="Calibri" w:cstheme="minorBidi"/>
                                      <w:color w:val="FFFFFF" w:themeColor="light1"/>
                                      <w:sz w:val="22"/>
                                      <w:szCs w:val="22"/>
                                    </w:rPr>
                                  </w:pPr>
                                  <w:r>
                                    <w:rPr>
                                      <w:rFonts w:asciiTheme="minorHAnsi" w:hAnsi="Calibri" w:cstheme="minorBidi"/>
                                      <w:color w:val="FFFFFF" w:themeColor="light1"/>
                                      <w:sz w:val="22"/>
                                      <w:szCs w:val="22"/>
                                    </w:rPr>
                                    <w:t>Australia</w:t>
                                  </w:r>
                                </w:p>
                                <w:p w14:paraId="35E22DF3" w14:textId="77777777" w:rsidR="00344408" w:rsidRDefault="00344408" w:rsidP="00344408">
                                  <w:pPr>
                                    <w:rPr>
                                      <w:rFonts w:asciiTheme="minorHAnsi" w:hAnsi="Calibri" w:cstheme="minorBidi"/>
                                      <w:color w:val="FFFFFF" w:themeColor="light1"/>
                                      <w:sz w:val="22"/>
                                      <w:szCs w:val="22"/>
                                    </w:rPr>
                                  </w:pPr>
                                  <w:r>
                                    <w:rPr>
                                      <w:rFonts w:asciiTheme="minorHAnsi" w:hAnsi="Calibri" w:cstheme="minorBidi"/>
                                      <w:color w:val="FFFFFF" w:themeColor="light1"/>
                                      <w:sz w:val="22"/>
                                      <w:szCs w:val="22"/>
                                    </w:rPr>
                                    <w:t>1542</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5A8F80C9" id="Rectangle 7" o:spid="_x0000_s1039" style="position:absolute;margin-left:54.4pt;margin-top:78.4pt;width:55.9pt;height:48.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" fillcolor="#c0504d [3205]" strokecolor="#c0504d [3205]" strokeweight="2pt">
                      <v:textbox>
                        <w:txbxContent>
                          <w:p w14:paraId="5F86150B" w14:textId="77777777" w:rsidR="00344408" w:rsidRDefault="00344408" w:rsidP="00344408">
                            <w:pPr>
                              <w:rPr>
                                <w:rFonts w:asciiTheme="minorHAnsi" w:hAnsi="Calibri" w:cstheme="minorBidi"/>
                                <w:color w:val="FFFFFF" w:themeColor="light1"/>
                                <w:sz w:val="22"/>
                                <w:szCs w:val="22"/>
                              </w:rPr>
                            </w:pPr>
                            <w:r>
                              <w:rPr>
                                <w:rFonts w:asciiTheme="minorHAnsi" w:hAnsi="Calibri" w:cstheme="minorBidi"/>
                                <w:color w:val="FFFFFF" w:themeColor="light1"/>
                                <w:sz w:val="22"/>
                                <w:szCs w:val="22"/>
                              </w:rPr>
                              <w:t>Australia</w:t>
                            </w:r>
                          </w:p>
                          <w:p w14:paraId="35E22DF3" w14:textId="77777777" w:rsidR="00344408" w:rsidRDefault="00344408" w:rsidP="00344408">
                            <w:pPr>
                              <w:rPr>
                                <w:rFonts w:asciiTheme="minorHAnsi" w:hAnsi="Calibri" w:cstheme="minorBidi"/>
                                <w:color w:val="FFFFFF" w:themeColor="light1"/>
                                <w:sz w:val="22"/>
                                <w:szCs w:val="22"/>
                              </w:rPr>
                            </w:pPr>
                            <w:r>
                              <w:rPr>
                                <w:rFonts w:asciiTheme="minorHAnsi" w:hAnsi="Calibri" w:cstheme="minorBidi"/>
                                <w:color w:val="FFFFFF" w:themeColor="light1"/>
                                <w:sz w:val="22"/>
                                <w:szCs w:val="22"/>
                              </w:rPr>
                              <w:t>1542</w:t>
                            </w:r>
                          </w:p>
                        </w:txbxContent>
                      </v:textbox>
                    </v:rect>
                  </w:pict>
                </mc:Fallback>
              </mc:AlternateContent>
            </w:r>
          </w:p>
        </w:tc>
      </w:tr>
      <w:tr w:rsidR="00344408" w14:paraId="622B163B" w14:textId="77777777" w:rsidTr="00344408">
        <w:trPr>
          <w:trHeight w:val="285"/>
        </w:trPr>
        <w:tc>
          <w:tcPr>
            <w:tcW w:w="1036" w:type="dxa"/>
            <w:tcBorders>
              <w:top w:val="nil"/>
              <w:left w:val="nil"/>
              <w:bottom w:val="nil"/>
              <w:right w:val="nil"/>
            </w:tcBorders>
            <w:shd w:val="clear" w:color="auto" w:fill="auto"/>
            <w:noWrap/>
            <w:vAlign w:val="bottom"/>
            <w:hideMark/>
          </w:tcPr>
          <w:p w14:paraId="75A5A4E6" w14:textId="77777777" w:rsidR="00344408" w:rsidRDefault="00344408">
            <w:pPr>
              <w:rPr>
                <w:rFonts w:ascii="Calibri" w:hAnsi="Calibri" w:cs="Calibri"/>
                <w:color w:val="000000"/>
                <w:sz w:val="22"/>
                <w:szCs w:val="22"/>
              </w:rPr>
            </w:pPr>
          </w:p>
        </w:tc>
        <w:tc>
          <w:tcPr>
            <w:tcW w:w="1036" w:type="dxa"/>
            <w:tcBorders>
              <w:top w:val="nil"/>
              <w:left w:val="nil"/>
              <w:bottom w:val="nil"/>
              <w:right w:val="nil"/>
            </w:tcBorders>
            <w:shd w:val="clear" w:color="auto" w:fill="auto"/>
            <w:noWrap/>
            <w:vAlign w:val="bottom"/>
            <w:hideMark/>
          </w:tcPr>
          <w:p w14:paraId="6EB3EFCF"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0803BEEE"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12C06523"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79F4BDC9"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3D21D290"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5597B29B"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37ABCB69" w14:textId="77777777" w:rsidR="00344408" w:rsidRDefault="00344408">
            <w:pPr>
              <w:rPr>
                <w:sz w:val="20"/>
                <w:szCs w:val="20"/>
              </w:rPr>
            </w:pPr>
          </w:p>
        </w:tc>
        <w:tc>
          <w:tcPr>
            <w:tcW w:w="616" w:type="dxa"/>
            <w:tcBorders>
              <w:top w:val="nil"/>
              <w:left w:val="nil"/>
              <w:bottom w:val="nil"/>
              <w:right w:val="nil"/>
            </w:tcBorders>
            <w:shd w:val="clear" w:color="auto" w:fill="auto"/>
            <w:noWrap/>
            <w:vAlign w:val="bottom"/>
            <w:hideMark/>
          </w:tcPr>
          <w:p w14:paraId="54A75296" w14:textId="77777777" w:rsidR="00344408" w:rsidRDefault="00344408">
            <w:pPr>
              <w:rPr>
                <w:sz w:val="20"/>
                <w:szCs w:val="20"/>
              </w:rPr>
            </w:pPr>
          </w:p>
        </w:tc>
        <w:tc>
          <w:tcPr>
            <w:tcW w:w="2488" w:type="dxa"/>
            <w:gridSpan w:val="3"/>
            <w:vMerge/>
            <w:tcBorders>
              <w:top w:val="nil"/>
              <w:left w:val="nil"/>
              <w:bottom w:val="nil"/>
              <w:right w:val="nil"/>
            </w:tcBorders>
            <w:vAlign w:val="center"/>
            <w:hideMark/>
          </w:tcPr>
          <w:p w14:paraId="32181D5C" w14:textId="77777777" w:rsidR="00344408" w:rsidRDefault="00344408">
            <w:pPr>
              <w:rPr>
                <w:rFonts w:ascii="Calibri" w:hAnsi="Calibri" w:cs="Calibri"/>
                <w:color w:val="000000"/>
                <w:sz w:val="22"/>
                <w:szCs w:val="22"/>
              </w:rPr>
            </w:pPr>
          </w:p>
        </w:tc>
      </w:tr>
      <w:tr w:rsidR="00344408" w14:paraId="2A49FE6B" w14:textId="77777777" w:rsidTr="00344408">
        <w:trPr>
          <w:trHeight w:val="285"/>
        </w:trPr>
        <w:tc>
          <w:tcPr>
            <w:tcW w:w="1036" w:type="dxa"/>
            <w:tcBorders>
              <w:top w:val="nil"/>
              <w:left w:val="nil"/>
              <w:bottom w:val="nil"/>
              <w:right w:val="nil"/>
            </w:tcBorders>
            <w:shd w:val="clear" w:color="auto" w:fill="auto"/>
            <w:noWrap/>
            <w:vAlign w:val="bottom"/>
            <w:hideMark/>
          </w:tcPr>
          <w:p w14:paraId="2A00BE09"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7987289F"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512E554B"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798B100F"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66F40C47"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3B87F14F"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694144A7"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07F3BC86" w14:textId="77777777" w:rsidR="00344408" w:rsidRDefault="00344408">
            <w:pPr>
              <w:rPr>
                <w:sz w:val="20"/>
                <w:szCs w:val="20"/>
              </w:rPr>
            </w:pPr>
          </w:p>
        </w:tc>
        <w:tc>
          <w:tcPr>
            <w:tcW w:w="616" w:type="dxa"/>
            <w:tcBorders>
              <w:top w:val="nil"/>
              <w:left w:val="nil"/>
              <w:bottom w:val="nil"/>
              <w:right w:val="nil"/>
            </w:tcBorders>
            <w:shd w:val="clear" w:color="auto" w:fill="auto"/>
            <w:noWrap/>
            <w:vAlign w:val="bottom"/>
            <w:hideMark/>
          </w:tcPr>
          <w:p w14:paraId="2C940BD7" w14:textId="77777777" w:rsidR="00344408" w:rsidRDefault="00344408">
            <w:pPr>
              <w:rPr>
                <w:sz w:val="20"/>
                <w:szCs w:val="20"/>
              </w:rPr>
            </w:pPr>
          </w:p>
        </w:tc>
        <w:tc>
          <w:tcPr>
            <w:tcW w:w="2488" w:type="dxa"/>
            <w:gridSpan w:val="3"/>
            <w:vMerge/>
            <w:tcBorders>
              <w:top w:val="nil"/>
              <w:left w:val="nil"/>
              <w:bottom w:val="nil"/>
              <w:right w:val="nil"/>
            </w:tcBorders>
            <w:vAlign w:val="center"/>
            <w:hideMark/>
          </w:tcPr>
          <w:p w14:paraId="4697028F" w14:textId="77777777" w:rsidR="00344408" w:rsidRDefault="00344408">
            <w:pPr>
              <w:rPr>
                <w:rFonts w:ascii="Calibri" w:hAnsi="Calibri" w:cs="Calibri"/>
                <w:color w:val="000000"/>
                <w:sz w:val="22"/>
                <w:szCs w:val="22"/>
              </w:rPr>
            </w:pPr>
          </w:p>
        </w:tc>
      </w:tr>
      <w:tr w:rsidR="00344408" w14:paraId="61B3E844" w14:textId="77777777" w:rsidTr="00344408">
        <w:trPr>
          <w:trHeight w:val="285"/>
        </w:trPr>
        <w:tc>
          <w:tcPr>
            <w:tcW w:w="1036" w:type="dxa"/>
            <w:tcBorders>
              <w:top w:val="nil"/>
              <w:left w:val="nil"/>
              <w:bottom w:val="nil"/>
              <w:right w:val="nil"/>
            </w:tcBorders>
            <w:shd w:val="clear" w:color="auto" w:fill="auto"/>
            <w:noWrap/>
            <w:vAlign w:val="bottom"/>
            <w:hideMark/>
          </w:tcPr>
          <w:p w14:paraId="73B219DF"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12977966"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5818FB6B"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51722F02"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2482323A"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31CD8E06"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35CE4370"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44FDEF90" w14:textId="77777777" w:rsidR="00344408" w:rsidRDefault="00344408">
            <w:pPr>
              <w:rPr>
                <w:sz w:val="20"/>
                <w:szCs w:val="20"/>
              </w:rPr>
            </w:pPr>
          </w:p>
        </w:tc>
        <w:tc>
          <w:tcPr>
            <w:tcW w:w="616" w:type="dxa"/>
            <w:tcBorders>
              <w:top w:val="nil"/>
              <w:left w:val="nil"/>
              <w:bottom w:val="nil"/>
              <w:right w:val="nil"/>
            </w:tcBorders>
            <w:shd w:val="clear" w:color="auto" w:fill="auto"/>
            <w:noWrap/>
            <w:vAlign w:val="bottom"/>
            <w:hideMark/>
          </w:tcPr>
          <w:p w14:paraId="5CDC32EA" w14:textId="77777777" w:rsidR="00344408" w:rsidRDefault="00344408">
            <w:pPr>
              <w:rPr>
                <w:sz w:val="20"/>
                <w:szCs w:val="20"/>
              </w:rPr>
            </w:pPr>
          </w:p>
        </w:tc>
        <w:tc>
          <w:tcPr>
            <w:tcW w:w="2488" w:type="dxa"/>
            <w:gridSpan w:val="3"/>
            <w:vMerge/>
            <w:tcBorders>
              <w:top w:val="nil"/>
              <w:left w:val="nil"/>
              <w:bottom w:val="nil"/>
              <w:right w:val="nil"/>
            </w:tcBorders>
            <w:vAlign w:val="center"/>
            <w:hideMark/>
          </w:tcPr>
          <w:p w14:paraId="069A1F6A" w14:textId="77777777" w:rsidR="00344408" w:rsidRDefault="00344408">
            <w:pPr>
              <w:rPr>
                <w:rFonts w:ascii="Calibri" w:hAnsi="Calibri" w:cs="Calibri"/>
                <w:color w:val="000000"/>
                <w:sz w:val="22"/>
                <w:szCs w:val="22"/>
              </w:rPr>
            </w:pPr>
          </w:p>
        </w:tc>
      </w:tr>
      <w:tr w:rsidR="00344408" w14:paraId="01D1B03E" w14:textId="77777777" w:rsidTr="00344408">
        <w:trPr>
          <w:trHeight w:val="285"/>
        </w:trPr>
        <w:tc>
          <w:tcPr>
            <w:tcW w:w="1036" w:type="dxa"/>
            <w:tcBorders>
              <w:top w:val="nil"/>
              <w:left w:val="nil"/>
              <w:bottom w:val="nil"/>
              <w:right w:val="nil"/>
            </w:tcBorders>
            <w:shd w:val="clear" w:color="auto" w:fill="auto"/>
            <w:noWrap/>
            <w:vAlign w:val="bottom"/>
            <w:hideMark/>
          </w:tcPr>
          <w:p w14:paraId="4DE272D6"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035C586F"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08B941E4"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462177B5"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0CFA3738"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7625185C"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08248A65"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7CDDF9AA" w14:textId="77777777" w:rsidR="00344408" w:rsidRDefault="00344408">
            <w:pPr>
              <w:rPr>
                <w:sz w:val="20"/>
                <w:szCs w:val="20"/>
              </w:rPr>
            </w:pPr>
          </w:p>
        </w:tc>
        <w:tc>
          <w:tcPr>
            <w:tcW w:w="616" w:type="dxa"/>
            <w:tcBorders>
              <w:top w:val="nil"/>
              <w:left w:val="nil"/>
              <w:bottom w:val="nil"/>
              <w:right w:val="nil"/>
            </w:tcBorders>
            <w:shd w:val="clear" w:color="auto" w:fill="auto"/>
            <w:noWrap/>
            <w:vAlign w:val="bottom"/>
            <w:hideMark/>
          </w:tcPr>
          <w:p w14:paraId="6ABFD8B4" w14:textId="77777777" w:rsidR="00344408" w:rsidRDefault="00344408">
            <w:pPr>
              <w:rPr>
                <w:sz w:val="20"/>
                <w:szCs w:val="20"/>
              </w:rPr>
            </w:pPr>
          </w:p>
        </w:tc>
        <w:tc>
          <w:tcPr>
            <w:tcW w:w="2488" w:type="dxa"/>
            <w:gridSpan w:val="3"/>
            <w:vMerge/>
            <w:tcBorders>
              <w:top w:val="nil"/>
              <w:left w:val="nil"/>
              <w:bottom w:val="nil"/>
              <w:right w:val="nil"/>
            </w:tcBorders>
            <w:vAlign w:val="center"/>
            <w:hideMark/>
          </w:tcPr>
          <w:p w14:paraId="5CE96B99" w14:textId="77777777" w:rsidR="00344408" w:rsidRDefault="00344408">
            <w:pPr>
              <w:rPr>
                <w:rFonts w:ascii="Calibri" w:hAnsi="Calibri" w:cs="Calibri"/>
                <w:color w:val="000000"/>
                <w:sz w:val="22"/>
                <w:szCs w:val="22"/>
              </w:rPr>
            </w:pPr>
          </w:p>
        </w:tc>
      </w:tr>
      <w:tr w:rsidR="00344408" w14:paraId="267E5BBD" w14:textId="77777777" w:rsidTr="00344408">
        <w:trPr>
          <w:trHeight w:val="285"/>
        </w:trPr>
        <w:tc>
          <w:tcPr>
            <w:tcW w:w="1036" w:type="dxa"/>
            <w:tcBorders>
              <w:top w:val="nil"/>
              <w:left w:val="nil"/>
              <w:bottom w:val="nil"/>
              <w:right w:val="nil"/>
            </w:tcBorders>
            <w:shd w:val="clear" w:color="auto" w:fill="auto"/>
            <w:noWrap/>
            <w:vAlign w:val="bottom"/>
            <w:hideMark/>
          </w:tcPr>
          <w:p w14:paraId="6462DDF6"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3FEA235A"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145AFD47"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01B34E82"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56D7902A"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26C28B48"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1066027B"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3479DA70" w14:textId="77777777" w:rsidR="00344408" w:rsidRDefault="00344408">
            <w:pPr>
              <w:rPr>
                <w:sz w:val="20"/>
                <w:szCs w:val="20"/>
              </w:rPr>
            </w:pPr>
          </w:p>
        </w:tc>
        <w:tc>
          <w:tcPr>
            <w:tcW w:w="616" w:type="dxa"/>
            <w:tcBorders>
              <w:top w:val="nil"/>
              <w:left w:val="nil"/>
              <w:bottom w:val="nil"/>
              <w:right w:val="nil"/>
            </w:tcBorders>
            <w:shd w:val="clear" w:color="auto" w:fill="auto"/>
            <w:noWrap/>
            <w:vAlign w:val="bottom"/>
            <w:hideMark/>
          </w:tcPr>
          <w:p w14:paraId="41BDC58B" w14:textId="77777777" w:rsidR="00344408" w:rsidRDefault="00344408">
            <w:pPr>
              <w:rPr>
                <w:sz w:val="20"/>
                <w:szCs w:val="20"/>
              </w:rPr>
            </w:pPr>
          </w:p>
        </w:tc>
        <w:tc>
          <w:tcPr>
            <w:tcW w:w="2488" w:type="dxa"/>
            <w:gridSpan w:val="3"/>
            <w:vMerge/>
            <w:tcBorders>
              <w:top w:val="nil"/>
              <w:left w:val="nil"/>
              <w:bottom w:val="nil"/>
              <w:right w:val="nil"/>
            </w:tcBorders>
            <w:vAlign w:val="center"/>
            <w:hideMark/>
          </w:tcPr>
          <w:p w14:paraId="28502A95" w14:textId="77777777" w:rsidR="00344408" w:rsidRDefault="00344408">
            <w:pPr>
              <w:rPr>
                <w:rFonts w:ascii="Calibri" w:hAnsi="Calibri" w:cs="Calibri"/>
                <w:color w:val="000000"/>
                <w:sz w:val="22"/>
                <w:szCs w:val="22"/>
              </w:rPr>
            </w:pPr>
          </w:p>
        </w:tc>
      </w:tr>
      <w:tr w:rsidR="00344408" w14:paraId="79297EA1" w14:textId="77777777" w:rsidTr="00344408">
        <w:trPr>
          <w:trHeight w:val="285"/>
        </w:trPr>
        <w:tc>
          <w:tcPr>
            <w:tcW w:w="1036" w:type="dxa"/>
            <w:tcBorders>
              <w:top w:val="nil"/>
              <w:left w:val="nil"/>
              <w:bottom w:val="nil"/>
              <w:right w:val="nil"/>
            </w:tcBorders>
            <w:shd w:val="clear" w:color="auto" w:fill="auto"/>
            <w:noWrap/>
            <w:vAlign w:val="bottom"/>
            <w:hideMark/>
          </w:tcPr>
          <w:p w14:paraId="589231AF"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7B88E01C"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4D0A94B2"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29F75AB0"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115EEC9B"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01A7A18C"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16ED23EC"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2287C0B8" w14:textId="77777777" w:rsidR="00344408" w:rsidRDefault="00344408">
            <w:pPr>
              <w:rPr>
                <w:sz w:val="20"/>
                <w:szCs w:val="20"/>
              </w:rPr>
            </w:pPr>
          </w:p>
        </w:tc>
        <w:tc>
          <w:tcPr>
            <w:tcW w:w="616" w:type="dxa"/>
            <w:tcBorders>
              <w:top w:val="nil"/>
              <w:left w:val="nil"/>
              <w:bottom w:val="nil"/>
              <w:right w:val="nil"/>
            </w:tcBorders>
            <w:shd w:val="clear" w:color="auto" w:fill="auto"/>
            <w:noWrap/>
            <w:vAlign w:val="bottom"/>
            <w:hideMark/>
          </w:tcPr>
          <w:p w14:paraId="4CF929B9" w14:textId="77777777" w:rsidR="00344408" w:rsidRDefault="00344408">
            <w:pPr>
              <w:rPr>
                <w:sz w:val="20"/>
                <w:szCs w:val="20"/>
              </w:rPr>
            </w:pPr>
          </w:p>
        </w:tc>
        <w:tc>
          <w:tcPr>
            <w:tcW w:w="2488" w:type="dxa"/>
            <w:gridSpan w:val="3"/>
            <w:vMerge/>
            <w:tcBorders>
              <w:top w:val="nil"/>
              <w:left w:val="nil"/>
              <w:bottom w:val="nil"/>
              <w:right w:val="nil"/>
            </w:tcBorders>
            <w:vAlign w:val="center"/>
            <w:hideMark/>
          </w:tcPr>
          <w:p w14:paraId="0DC27C5C" w14:textId="77777777" w:rsidR="00344408" w:rsidRDefault="00344408">
            <w:pPr>
              <w:rPr>
                <w:rFonts w:ascii="Calibri" w:hAnsi="Calibri" w:cs="Calibri"/>
                <w:color w:val="000000"/>
                <w:sz w:val="22"/>
                <w:szCs w:val="22"/>
              </w:rPr>
            </w:pPr>
          </w:p>
        </w:tc>
      </w:tr>
      <w:tr w:rsidR="00344408" w14:paraId="0CDBCB97" w14:textId="77777777" w:rsidTr="00344408">
        <w:trPr>
          <w:trHeight w:val="285"/>
        </w:trPr>
        <w:tc>
          <w:tcPr>
            <w:tcW w:w="1036" w:type="dxa"/>
            <w:tcBorders>
              <w:top w:val="nil"/>
              <w:left w:val="nil"/>
              <w:bottom w:val="nil"/>
              <w:right w:val="nil"/>
            </w:tcBorders>
            <w:shd w:val="clear" w:color="auto" w:fill="auto"/>
            <w:noWrap/>
            <w:vAlign w:val="bottom"/>
            <w:hideMark/>
          </w:tcPr>
          <w:p w14:paraId="47EBE2F2"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3F6E2C84"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00AE8C30"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4344C4CF"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403F1BF5"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50205461"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0351E6EE"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7814FC31" w14:textId="77777777" w:rsidR="00344408" w:rsidRDefault="00344408">
            <w:pPr>
              <w:rPr>
                <w:sz w:val="20"/>
                <w:szCs w:val="20"/>
              </w:rPr>
            </w:pPr>
          </w:p>
        </w:tc>
        <w:tc>
          <w:tcPr>
            <w:tcW w:w="616" w:type="dxa"/>
            <w:tcBorders>
              <w:top w:val="nil"/>
              <w:left w:val="nil"/>
              <w:bottom w:val="nil"/>
              <w:right w:val="nil"/>
            </w:tcBorders>
            <w:shd w:val="clear" w:color="auto" w:fill="auto"/>
            <w:noWrap/>
            <w:vAlign w:val="bottom"/>
            <w:hideMark/>
          </w:tcPr>
          <w:p w14:paraId="581BEBCC" w14:textId="77777777" w:rsidR="00344408" w:rsidRDefault="00344408">
            <w:pPr>
              <w:rPr>
                <w:sz w:val="20"/>
                <w:szCs w:val="20"/>
              </w:rPr>
            </w:pPr>
          </w:p>
        </w:tc>
        <w:tc>
          <w:tcPr>
            <w:tcW w:w="2488" w:type="dxa"/>
            <w:gridSpan w:val="3"/>
            <w:vMerge/>
            <w:tcBorders>
              <w:top w:val="nil"/>
              <w:left w:val="nil"/>
              <w:bottom w:val="nil"/>
              <w:right w:val="nil"/>
            </w:tcBorders>
            <w:vAlign w:val="center"/>
            <w:hideMark/>
          </w:tcPr>
          <w:p w14:paraId="4231D597" w14:textId="77777777" w:rsidR="00344408" w:rsidRDefault="00344408">
            <w:pPr>
              <w:rPr>
                <w:rFonts w:ascii="Calibri" w:hAnsi="Calibri" w:cs="Calibri"/>
                <w:color w:val="000000"/>
                <w:sz w:val="22"/>
                <w:szCs w:val="22"/>
              </w:rPr>
            </w:pPr>
          </w:p>
        </w:tc>
      </w:tr>
      <w:tr w:rsidR="00344408" w14:paraId="25609C20" w14:textId="77777777" w:rsidTr="00344408">
        <w:trPr>
          <w:trHeight w:val="285"/>
        </w:trPr>
        <w:tc>
          <w:tcPr>
            <w:tcW w:w="1036" w:type="dxa"/>
            <w:tcBorders>
              <w:top w:val="nil"/>
              <w:left w:val="nil"/>
              <w:bottom w:val="nil"/>
              <w:right w:val="nil"/>
            </w:tcBorders>
            <w:shd w:val="clear" w:color="auto" w:fill="auto"/>
            <w:noWrap/>
            <w:vAlign w:val="bottom"/>
            <w:hideMark/>
          </w:tcPr>
          <w:p w14:paraId="671E0924"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06518725"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00BA3A7C"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036268B0"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7156DFE8"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2CD8C6EB"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1353F4B9"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16E01E66" w14:textId="77777777" w:rsidR="00344408" w:rsidRDefault="00344408">
            <w:pPr>
              <w:rPr>
                <w:sz w:val="20"/>
                <w:szCs w:val="20"/>
              </w:rPr>
            </w:pPr>
          </w:p>
        </w:tc>
        <w:tc>
          <w:tcPr>
            <w:tcW w:w="616" w:type="dxa"/>
            <w:tcBorders>
              <w:top w:val="nil"/>
              <w:left w:val="nil"/>
              <w:bottom w:val="nil"/>
              <w:right w:val="nil"/>
            </w:tcBorders>
            <w:shd w:val="clear" w:color="auto" w:fill="auto"/>
            <w:noWrap/>
            <w:vAlign w:val="bottom"/>
            <w:hideMark/>
          </w:tcPr>
          <w:p w14:paraId="2EFAE395" w14:textId="77777777" w:rsidR="00344408" w:rsidRDefault="00344408">
            <w:pPr>
              <w:rPr>
                <w:sz w:val="20"/>
                <w:szCs w:val="20"/>
              </w:rPr>
            </w:pPr>
          </w:p>
        </w:tc>
        <w:tc>
          <w:tcPr>
            <w:tcW w:w="2488" w:type="dxa"/>
            <w:gridSpan w:val="3"/>
            <w:vMerge/>
            <w:tcBorders>
              <w:top w:val="nil"/>
              <w:left w:val="nil"/>
              <w:bottom w:val="nil"/>
              <w:right w:val="nil"/>
            </w:tcBorders>
            <w:vAlign w:val="center"/>
            <w:hideMark/>
          </w:tcPr>
          <w:p w14:paraId="69F98B44" w14:textId="77777777" w:rsidR="00344408" w:rsidRDefault="00344408">
            <w:pPr>
              <w:rPr>
                <w:rFonts w:ascii="Calibri" w:hAnsi="Calibri" w:cs="Calibri"/>
                <w:color w:val="000000"/>
                <w:sz w:val="22"/>
                <w:szCs w:val="22"/>
              </w:rPr>
            </w:pPr>
          </w:p>
        </w:tc>
      </w:tr>
      <w:tr w:rsidR="00344408" w14:paraId="29D1D827" w14:textId="77777777" w:rsidTr="00344408">
        <w:trPr>
          <w:trHeight w:val="285"/>
        </w:trPr>
        <w:tc>
          <w:tcPr>
            <w:tcW w:w="1036" w:type="dxa"/>
            <w:tcBorders>
              <w:top w:val="nil"/>
              <w:left w:val="nil"/>
              <w:bottom w:val="nil"/>
              <w:right w:val="nil"/>
            </w:tcBorders>
            <w:shd w:val="clear" w:color="auto" w:fill="auto"/>
            <w:noWrap/>
            <w:vAlign w:val="bottom"/>
            <w:hideMark/>
          </w:tcPr>
          <w:p w14:paraId="06524B19"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1E17BEE6"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1003359B"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662C29B0"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47482F7C"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37528D20"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74FCDFBC"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24202AB5" w14:textId="77777777" w:rsidR="00344408" w:rsidRDefault="00344408">
            <w:pPr>
              <w:rPr>
                <w:sz w:val="20"/>
                <w:szCs w:val="20"/>
              </w:rPr>
            </w:pPr>
          </w:p>
        </w:tc>
        <w:tc>
          <w:tcPr>
            <w:tcW w:w="616" w:type="dxa"/>
            <w:tcBorders>
              <w:top w:val="nil"/>
              <w:left w:val="nil"/>
              <w:bottom w:val="nil"/>
              <w:right w:val="nil"/>
            </w:tcBorders>
            <w:shd w:val="clear" w:color="auto" w:fill="auto"/>
            <w:noWrap/>
            <w:vAlign w:val="bottom"/>
            <w:hideMark/>
          </w:tcPr>
          <w:p w14:paraId="01131B87"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5513BF3E"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719C8603" w14:textId="77777777" w:rsidR="00344408" w:rsidRDefault="00344408">
            <w:pPr>
              <w:rPr>
                <w:sz w:val="20"/>
                <w:szCs w:val="20"/>
              </w:rPr>
            </w:pPr>
          </w:p>
        </w:tc>
        <w:tc>
          <w:tcPr>
            <w:tcW w:w="416" w:type="dxa"/>
            <w:tcBorders>
              <w:top w:val="nil"/>
              <w:left w:val="nil"/>
              <w:bottom w:val="nil"/>
              <w:right w:val="nil"/>
            </w:tcBorders>
            <w:shd w:val="clear" w:color="auto" w:fill="auto"/>
            <w:noWrap/>
            <w:vAlign w:val="bottom"/>
            <w:hideMark/>
          </w:tcPr>
          <w:p w14:paraId="1CCE1A40" w14:textId="77777777" w:rsidR="00344408" w:rsidRDefault="00344408">
            <w:pPr>
              <w:rPr>
                <w:sz w:val="20"/>
                <w:szCs w:val="20"/>
              </w:rPr>
            </w:pPr>
          </w:p>
        </w:tc>
      </w:tr>
      <w:tr w:rsidR="00344408" w14:paraId="14BDEBAB" w14:textId="77777777" w:rsidTr="00344408">
        <w:trPr>
          <w:trHeight w:val="285"/>
        </w:trPr>
        <w:tc>
          <w:tcPr>
            <w:tcW w:w="1036" w:type="dxa"/>
            <w:tcBorders>
              <w:top w:val="nil"/>
              <w:left w:val="nil"/>
              <w:bottom w:val="nil"/>
              <w:right w:val="nil"/>
            </w:tcBorders>
            <w:shd w:val="clear" w:color="auto" w:fill="auto"/>
            <w:noWrap/>
            <w:vAlign w:val="bottom"/>
            <w:hideMark/>
          </w:tcPr>
          <w:p w14:paraId="725E0DE8"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1D4870E6"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7F1FE584"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05B5017A"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0C065700"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6A445EE2"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5BF8F3AB"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78A8D2B7" w14:textId="77777777" w:rsidR="00344408" w:rsidRDefault="00344408">
            <w:pPr>
              <w:rPr>
                <w:sz w:val="20"/>
                <w:szCs w:val="20"/>
              </w:rPr>
            </w:pPr>
          </w:p>
        </w:tc>
        <w:tc>
          <w:tcPr>
            <w:tcW w:w="616" w:type="dxa"/>
            <w:tcBorders>
              <w:top w:val="nil"/>
              <w:left w:val="nil"/>
              <w:bottom w:val="nil"/>
              <w:right w:val="nil"/>
            </w:tcBorders>
            <w:shd w:val="clear" w:color="auto" w:fill="auto"/>
            <w:noWrap/>
            <w:vAlign w:val="bottom"/>
            <w:hideMark/>
          </w:tcPr>
          <w:p w14:paraId="7FA8B063"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0583B430"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28A45068" w14:textId="77777777" w:rsidR="00344408" w:rsidRDefault="00344408">
            <w:pPr>
              <w:rPr>
                <w:sz w:val="20"/>
                <w:szCs w:val="20"/>
              </w:rPr>
            </w:pPr>
          </w:p>
        </w:tc>
        <w:tc>
          <w:tcPr>
            <w:tcW w:w="416" w:type="dxa"/>
            <w:tcBorders>
              <w:top w:val="nil"/>
              <w:left w:val="nil"/>
              <w:bottom w:val="nil"/>
              <w:right w:val="nil"/>
            </w:tcBorders>
            <w:shd w:val="clear" w:color="auto" w:fill="auto"/>
            <w:noWrap/>
            <w:vAlign w:val="bottom"/>
            <w:hideMark/>
          </w:tcPr>
          <w:p w14:paraId="42AD7DBF" w14:textId="77777777" w:rsidR="00344408" w:rsidRDefault="00344408">
            <w:pPr>
              <w:rPr>
                <w:sz w:val="20"/>
                <w:szCs w:val="20"/>
              </w:rPr>
            </w:pPr>
          </w:p>
        </w:tc>
      </w:tr>
      <w:tr w:rsidR="00344408" w14:paraId="2B3A1F4B" w14:textId="77777777" w:rsidTr="00344408">
        <w:trPr>
          <w:trHeight w:val="285"/>
        </w:trPr>
        <w:tc>
          <w:tcPr>
            <w:tcW w:w="1036" w:type="dxa"/>
            <w:tcBorders>
              <w:top w:val="nil"/>
              <w:left w:val="nil"/>
              <w:bottom w:val="nil"/>
              <w:right w:val="nil"/>
            </w:tcBorders>
            <w:shd w:val="clear" w:color="auto" w:fill="auto"/>
            <w:noWrap/>
            <w:vAlign w:val="bottom"/>
            <w:hideMark/>
          </w:tcPr>
          <w:p w14:paraId="5506CC72"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00DE1CA4"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63FD7048"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0CC9568C"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2309F661"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503D9F95"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672007BE"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52D60473" w14:textId="77777777" w:rsidR="00344408" w:rsidRDefault="00344408">
            <w:pPr>
              <w:rPr>
                <w:sz w:val="20"/>
                <w:szCs w:val="20"/>
              </w:rPr>
            </w:pPr>
          </w:p>
        </w:tc>
        <w:tc>
          <w:tcPr>
            <w:tcW w:w="616" w:type="dxa"/>
            <w:tcBorders>
              <w:top w:val="nil"/>
              <w:left w:val="nil"/>
              <w:bottom w:val="nil"/>
              <w:right w:val="nil"/>
            </w:tcBorders>
            <w:shd w:val="clear" w:color="auto" w:fill="auto"/>
            <w:noWrap/>
            <w:vAlign w:val="bottom"/>
            <w:hideMark/>
          </w:tcPr>
          <w:p w14:paraId="7775965A"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7515EE15"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655B9157" w14:textId="77777777" w:rsidR="00344408" w:rsidRDefault="00344408">
            <w:pPr>
              <w:rPr>
                <w:sz w:val="20"/>
                <w:szCs w:val="20"/>
              </w:rPr>
            </w:pPr>
          </w:p>
        </w:tc>
        <w:tc>
          <w:tcPr>
            <w:tcW w:w="416" w:type="dxa"/>
            <w:tcBorders>
              <w:top w:val="nil"/>
              <w:left w:val="nil"/>
              <w:bottom w:val="nil"/>
              <w:right w:val="nil"/>
            </w:tcBorders>
            <w:shd w:val="clear" w:color="auto" w:fill="auto"/>
            <w:noWrap/>
            <w:vAlign w:val="bottom"/>
            <w:hideMark/>
          </w:tcPr>
          <w:p w14:paraId="04E39E3C" w14:textId="77777777" w:rsidR="00344408" w:rsidRDefault="00344408">
            <w:pPr>
              <w:rPr>
                <w:sz w:val="20"/>
                <w:szCs w:val="20"/>
              </w:rPr>
            </w:pPr>
          </w:p>
        </w:tc>
      </w:tr>
      <w:tr w:rsidR="00344408" w14:paraId="0BB83DBF" w14:textId="77777777" w:rsidTr="00344408">
        <w:trPr>
          <w:trHeight w:val="285"/>
        </w:trPr>
        <w:tc>
          <w:tcPr>
            <w:tcW w:w="1036" w:type="dxa"/>
            <w:tcBorders>
              <w:top w:val="nil"/>
              <w:left w:val="nil"/>
              <w:bottom w:val="nil"/>
              <w:right w:val="nil"/>
            </w:tcBorders>
            <w:shd w:val="clear" w:color="auto" w:fill="auto"/>
            <w:noWrap/>
            <w:vAlign w:val="bottom"/>
            <w:hideMark/>
          </w:tcPr>
          <w:p w14:paraId="6FCF3C43"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7C47C322"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6815E5A9"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2B187D68"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658FBFAB"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56B8E87F"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0EBC4720"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68015B2F" w14:textId="77777777" w:rsidR="00344408" w:rsidRDefault="00344408">
            <w:pPr>
              <w:rPr>
                <w:sz w:val="20"/>
                <w:szCs w:val="20"/>
              </w:rPr>
            </w:pPr>
          </w:p>
        </w:tc>
        <w:tc>
          <w:tcPr>
            <w:tcW w:w="616" w:type="dxa"/>
            <w:tcBorders>
              <w:top w:val="nil"/>
              <w:left w:val="nil"/>
              <w:bottom w:val="nil"/>
              <w:right w:val="nil"/>
            </w:tcBorders>
            <w:shd w:val="clear" w:color="auto" w:fill="auto"/>
            <w:noWrap/>
            <w:vAlign w:val="bottom"/>
            <w:hideMark/>
          </w:tcPr>
          <w:p w14:paraId="1713FBA2"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74A93C5B" w14:textId="77777777" w:rsidR="00344408" w:rsidRDefault="00344408">
            <w:pPr>
              <w:rPr>
                <w:sz w:val="20"/>
                <w:szCs w:val="20"/>
              </w:rPr>
            </w:pPr>
          </w:p>
        </w:tc>
        <w:tc>
          <w:tcPr>
            <w:tcW w:w="1036" w:type="dxa"/>
            <w:tcBorders>
              <w:top w:val="nil"/>
              <w:left w:val="nil"/>
              <w:bottom w:val="nil"/>
              <w:right w:val="nil"/>
            </w:tcBorders>
            <w:shd w:val="clear" w:color="auto" w:fill="auto"/>
            <w:noWrap/>
            <w:vAlign w:val="bottom"/>
            <w:hideMark/>
          </w:tcPr>
          <w:p w14:paraId="1B7D6C57" w14:textId="77777777" w:rsidR="00344408" w:rsidRDefault="00344408">
            <w:pPr>
              <w:rPr>
                <w:sz w:val="20"/>
                <w:szCs w:val="20"/>
              </w:rPr>
            </w:pPr>
          </w:p>
        </w:tc>
        <w:tc>
          <w:tcPr>
            <w:tcW w:w="416" w:type="dxa"/>
            <w:tcBorders>
              <w:top w:val="nil"/>
              <w:left w:val="nil"/>
              <w:bottom w:val="nil"/>
              <w:right w:val="nil"/>
            </w:tcBorders>
            <w:shd w:val="clear" w:color="auto" w:fill="auto"/>
            <w:noWrap/>
            <w:vAlign w:val="bottom"/>
            <w:hideMark/>
          </w:tcPr>
          <w:p w14:paraId="35B2140E" w14:textId="77777777" w:rsidR="00344408" w:rsidRDefault="00344408">
            <w:pPr>
              <w:rPr>
                <w:sz w:val="20"/>
                <w:szCs w:val="20"/>
              </w:rPr>
            </w:pPr>
          </w:p>
        </w:tc>
      </w:tr>
      <w:tr w:rsidR="00344408" w14:paraId="3DACA2E7" w14:textId="77777777" w:rsidTr="00344408">
        <w:trPr>
          <w:trHeight w:val="285"/>
        </w:trPr>
        <w:tc>
          <w:tcPr>
            <w:tcW w:w="1036" w:type="dxa"/>
            <w:tcBorders>
              <w:top w:val="nil"/>
              <w:left w:val="nil"/>
              <w:bottom w:val="nil"/>
              <w:right w:val="nil"/>
            </w:tcBorders>
            <w:shd w:val="clear" w:color="auto" w:fill="auto"/>
            <w:noWrap/>
            <w:vAlign w:val="bottom"/>
            <w:hideMark/>
          </w:tcPr>
          <w:p w14:paraId="36258800" w14:textId="77777777" w:rsidR="00344408" w:rsidRDefault="00344408">
            <w:pPr>
              <w:rPr>
                <w:sz w:val="20"/>
                <w:szCs w:val="20"/>
              </w:rPr>
            </w:pPr>
          </w:p>
        </w:tc>
        <w:tc>
          <w:tcPr>
            <w:tcW w:w="8904" w:type="dxa"/>
            <w:gridSpan w:val="9"/>
            <w:vMerge w:val="restart"/>
            <w:tcBorders>
              <w:top w:val="nil"/>
              <w:left w:val="nil"/>
              <w:bottom w:val="nil"/>
              <w:right w:val="nil"/>
            </w:tcBorders>
            <w:shd w:val="clear" w:color="auto" w:fill="auto"/>
            <w:vAlign w:val="bottom"/>
            <w:hideMark/>
          </w:tcPr>
          <w:p w14:paraId="58DF4A01" w14:textId="77777777" w:rsidR="00344408" w:rsidRDefault="00344408">
            <w:pPr>
              <w:rPr>
                <w:rFonts w:ascii="Calibri" w:hAnsi="Calibri" w:cs="Calibri"/>
                <w:color w:val="000000"/>
                <w:sz w:val="22"/>
                <w:szCs w:val="22"/>
              </w:rPr>
            </w:pPr>
            <w:r>
              <w:rPr>
                <w:rFonts w:ascii="Calibri" w:hAnsi="Calibri" w:cs="Calibri"/>
                <w:color w:val="000000"/>
                <w:sz w:val="22"/>
                <w:szCs w:val="22"/>
              </w:rPr>
              <w:t xml:space="preserve">*Extracted from: Ramseyer, J.M. &amp; Rasmusen, E. B. 2010. Comparative Litigation Rates. John M. Olin </w:t>
            </w:r>
            <w:proofErr w:type="spellStart"/>
            <w:r>
              <w:rPr>
                <w:rFonts w:ascii="Calibri" w:hAnsi="Calibri" w:cs="Calibri"/>
                <w:color w:val="000000"/>
                <w:sz w:val="22"/>
                <w:szCs w:val="22"/>
              </w:rPr>
              <w:t>Center</w:t>
            </w:r>
            <w:proofErr w:type="spellEnd"/>
            <w:r>
              <w:rPr>
                <w:rFonts w:ascii="Calibri" w:hAnsi="Calibri" w:cs="Calibri"/>
                <w:color w:val="000000"/>
                <w:sz w:val="22"/>
                <w:szCs w:val="22"/>
              </w:rPr>
              <w:t xml:space="preserve"> for Law, Economics, and Business – Harvard Law School, Discussion Paper No. 681.</w:t>
            </w:r>
          </w:p>
        </w:tc>
        <w:tc>
          <w:tcPr>
            <w:tcW w:w="1036" w:type="dxa"/>
            <w:tcBorders>
              <w:top w:val="nil"/>
              <w:left w:val="nil"/>
              <w:bottom w:val="nil"/>
              <w:right w:val="nil"/>
            </w:tcBorders>
            <w:shd w:val="clear" w:color="auto" w:fill="auto"/>
            <w:noWrap/>
            <w:vAlign w:val="bottom"/>
            <w:hideMark/>
          </w:tcPr>
          <w:p w14:paraId="0926F8AF" w14:textId="77777777" w:rsidR="00344408" w:rsidRDefault="00344408">
            <w:pPr>
              <w:rPr>
                <w:rFonts w:ascii="Calibri" w:hAnsi="Calibri" w:cs="Calibri"/>
                <w:color w:val="000000"/>
                <w:sz w:val="22"/>
                <w:szCs w:val="22"/>
              </w:rPr>
            </w:pPr>
          </w:p>
        </w:tc>
        <w:tc>
          <w:tcPr>
            <w:tcW w:w="416" w:type="dxa"/>
            <w:tcBorders>
              <w:top w:val="nil"/>
              <w:left w:val="nil"/>
              <w:bottom w:val="nil"/>
              <w:right w:val="nil"/>
            </w:tcBorders>
            <w:shd w:val="clear" w:color="auto" w:fill="auto"/>
            <w:noWrap/>
            <w:vAlign w:val="bottom"/>
            <w:hideMark/>
          </w:tcPr>
          <w:p w14:paraId="371F0FC4" w14:textId="77777777" w:rsidR="00344408" w:rsidRDefault="00344408">
            <w:pPr>
              <w:rPr>
                <w:sz w:val="20"/>
                <w:szCs w:val="20"/>
              </w:rPr>
            </w:pPr>
          </w:p>
        </w:tc>
      </w:tr>
      <w:tr w:rsidR="00344408" w14:paraId="7E4D6C99" w14:textId="77777777" w:rsidTr="00344408">
        <w:trPr>
          <w:trHeight w:val="285"/>
        </w:trPr>
        <w:tc>
          <w:tcPr>
            <w:tcW w:w="1036" w:type="dxa"/>
            <w:tcBorders>
              <w:top w:val="nil"/>
              <w:left w:val="nil"/>
              <w:bottom w:val="nil"/>
              <w:right w:val="nil"/>
            </w:tcBorders>
            <w:shd w:val="clear" w:color="auto" w:fill="auto"/>
            <w:noWrap/>
            <w:vAlign w:val="bottom"/>
            <w:hideMark/>
          </w:tcPr>
          <w:p w14:paraId="22F24373" w14:textId="77777777" w:rsidR="00344408" w:rsidRDefault="00344408">
            <w:pPr>
              <w:rPr>
                <w:sz w:val="20"/>
                <w:szCs w:val="20"/>
              </w:rPr>
            </w:pPr>
          </w:p>
        </w:tc>
        <w:tc>
          <w:tcPr>
            <w:tcW w:w="8904" w:type="dxa"/>
            <w:gridSpan w:val="9"/>
            <w:vMerge/>
            <w:tcBorders>
              <w:top w:val="nil"/>
              <w:left w:val="nil"/>
              <w:bottom w:val="nil"/>
              <w:right w:val="nil"/>
            </w:tcBorders>
            <w:vAlign w:val="center"/>
            <w:hideMark/>
          </w:tcPr>
          <w:p w14:paraId="431249DA" w14:textId="77777777" w:rsidR="00344408" w:rsidRDefault="00344408">
            <w:pPr>
              <w:rPr>
                <w:rFonts w:ascii="Calibri" w:hAnsi="Calibri" w:cs="Calibri"/>
                <w:color w:val="000000"/>
                <w:sz w:val="22"/>
                <w:szCs w:val="22"/>
              </w:rPr>
            </w:pPr>
          </w:p>
        </w:tc>
        <w:tc>
          <w:tcPr>
            <w:tcW w:w="1036" w:type="dxa"/>
            <w:tcBorders>
              <w:top w:val="nil"/>
              <w:left w:val="nil"/>
              <w:bottom w:val="nil"/>
              <w:right w:val="nil"/>
            </w:tcBorders>
            <w:shd w:val="clear" w:color="auto" w:fill="auto"/>
            <w:noWrap/>
            <w:vAlign w:val="bottom"/>
            <w:hideMark/>
          </w:tcPr>
          <w:p w14:paraId="2FA7F714" w14:textId="77777777" w:rsidR="00344408" w:rsidRDefault="00344408">
            <w:pPr>
              <w:rPr>
                <w:sz w:val="20"/>
                <w:szCs w:val="20"/>
              </w:rPr>
            </w:pPr>
          </w:p>
        </w:tc>
        <w:tc>
          <w:tcPr>
            <w:tcW w:w="416" w:type="dxa"/>
            <w:tcBorders>
              <w:top w:val="nil"/>
              <w:left w:val="nil"/>
              <w:bottom w:val="nil"/>
              <w:right w:val="nil"/>
            </w:tcBorders>
            <w:shd w:val="clear" w:color="auto" w:fill="auto"/>
            <w:noWrap/>
            <w:vAlign w:val="bottom"/>
            <w:hideMark/>
          </w:tcPr>
          <w:p w14:paraId="59BE8DA9" w14:textId="77777777" w:rsidR="00344408" w:rsidRDefault="00344408">
            <w:pPr>
              <w:rPr>
                <w:sz w:val="20"/>
                <w:szCs w:val="20"/>
              </w:rPr>
            </w:pPr>
          </w:p>
        </w:tc>
      </w:tr>
    </w:tbl>
    <w:p w14:paraId="220F9A0F" w14:textId="478D7219" w:rsidR="00004F98" w:rsidRPr="00540D8E" w:rsidRDefault="00004F98" w:rsidP="00540D8E"/>
    <w:sectPr w:rsidR="00004F98" w:rsidRPr="00540D8E" w:rsidSect="00784905">
      <w:footnotePr>
        <w:pos w:val="beneathText"/>
      </w:footnotePr>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30E63" w14:textId="77777777" w:rsidR="00784905" w:rsidRDefault="00784905" w:rsidP="00FA387B">
      <w:r>
        <w:separator/>
      </w:r>
    </w:p>
  </w:endnote>
  <w:endnote w:type="continuationSeparator" w:id="0">
    <w:p w14:paraId="2179F6BC" w14:textId="77777777" w:rsidR="00784905" w:rsidRDefault="00784905" w:rsidP="00FA3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55756"/>
      <w:docPartObj>
        <w:docPartGallery w:val="Page Numbers (Bottom of Page)"/>
        <w:docPartUnique/>
      </w:docPartObj>
    </w:sdtPr>
    <w:sdtEndPr>
      <w:rPr>
        <w:rFonts w:ascii="Times New Roman" w:hAnsi="Times New Roman" w:cs="Times New Roman"/>
      </w:rPr>
    </w:sdtEndPr>
    <w:sdtContent>
      <w:p w14:paraId="6048B177" w14:textId="5CFD6203" w:rsidR="002D61DD" w:rsidRPr="00B74133" w:rsidRDefault="002D61DD">
        <w:pPr>
          <w:pStyle w:val="Footer"/>
          <w:jc w:val="right"/>
          <w:rPr>
            <w:rFonts w:ascii="Times New Roman" w:hAnsi="Times New Roman" w:cs="Times New Roman"/>
          </w:rPr>
        </w:pPr>
        <w:r w:rsidRPr="00B74133">
          <w:rPr>
            <w:rFonts w:ascii="Times New Roman" w:hAnsi="Times New Roman" w:cs="Times New Roman"/>
          </w:rPr>
          <w:fldChar w:fldCharType="begin"/>
        </w:r>
        <w:r w:rsidRPr="00B74133">
          <w:rPr>
            <w:rFonts w:ascii="Times New Roman" w:hAnsi="Times New Roman" w:cs="Times New Roman"/>
          </w:rPr>
          <w:instrText xml:space="preserve"> PAGE   \* MERGEFORMAT </w:instrText>
        </w:r>
        <w:r w:rsidRPr="00B74133">
          <w:rPr>
            <w:rFonts w:ascii="Times New Roman" w:hAnsi="Times New Roman" w:cs="Times New Roman"/>
          </w:rPr>
          <w:fldChar w:fldCharType="separate"/>
        </w:r>
        <w:r>
          <w:rPr>
            <w:rFonts w:ascii="Times New Roman" w:hAnsi="Times New Roman" w:cs="Times New Roman"/>
            <w:noProof/>
          </w:rPr>
          <w:t>20</w:t>
        </w:r>
        <w:r w:rsidRPr="00B74133">
          <w:rPr>
            <w:rFonts w:ascii="Times New Roman" w:hAnsi="Times New Roman" w:cs="Times New Roman"/>
            <w:noProof/>
          </w:rPr>
          <w:fldChar w:fldCharType="end"/>
        </w:r>
      </w:p>
    </w:sdtContent>
  </w:sdt>
  <w:p w14:paraId="5FCD080E" w14:textId="77777777" w:rsidR="002D61DD" w:rsidRDefault="002D6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56CA7" w14:textId="77777777" w:rsidR="00784905" w:rsidRDefault="00784905" w:rsidP="00FA387B">
      <w:r>
        <w:separator/>
      </w:r>
    </w:p>
  </w:footnote>
  <w:footnote w:type="continuationSeparator" w:id="0">
    <w:p w14:paraId="279F7A24" w14:textId="77777777" w:rsidR="00784905" w:rsidRDefault="00784905" w:rsidP="00FA387B">
      <w:r>
        <w:continuationSeparator/>
      </w:r>
    </w:p>
  </w:footnote>
  <w:footnote w:id="1">
    <w:p w14:paraId="148DAC59" w14:textId="2EE13195" w:rsidR="004F16B9" w:rsidRPr="0007248D" w:rsidRDefault="004F16B9">
      <w:pPr>
        <w:pStyle w:val="FootnoteText"/>
        <w:rPr>
          <w:rFonts w:ascii="Times New Roman" w:hAnsi="Times New Roman" w:cs="Times New Roman"/>
        </w:rPr>
      </w:pPr>
      <w:r w:rsidRPr="0007248D">
        <w:rPr>
          <w:rStyle w:val="FootnoteReference"/>
          <w:rFonts w:ascii="Times New Roman" w:hAnsi="Times New Roman" w:cs="Times New Roman"/>
        </w:rPr>
        <w:footnoteRef/>
      </w:r>
      <w:r w:rsidRPr="0007248D">
        <w:rPr>
          <w:rFonts w:ascii="Times New Roman" w:hAnsi="Times New Roman" w:cs="Times New Roman"/>
        </w:rPr>
        <w:t xml:space="preserve"> </w:t>
      </w:r>
      <w:bookmarkStart w:id="4" w:name="_Hlk153747397"/>
      <w:r w:rsidRPr="0007248D">
        <w:rPr>
          <w:rFonts w:ascii="Times New Roman" w:hAnsi="Times New Roman" w:cs="Times New Roman"/>
        </w:rPr>
        <w:t xml:space="preserve">Including external suppliers would have slowed down responsiveness. We found that external suppliers made up a minority of recalls but there were several high-profile large scale (volume) recalls including Takata airbags (70 million) </w:t>
      </w:r>
      <w:bookmarkEnd w:id="4"/>
    </w:p>
  </w:footnote>
  <w:footnote w:id="2">
    <w:p w14:paraId="077B0971" w14:textId="00527629" w:rsidR="00E03756" w:rsidRDefault="00E03756">
      <w:pPr>
        <w:pStyle w:val="FootnoteText"/>
      </w:pPr>
      <w:r>
        <w:rPr>
          <w:rStyle w:val="FootnoteReference"/>
        </w:rPr>
        <w:footnoteRef/>
      </w:r>
      <w:r>
        <w:t xml:space="preserve"> Recalls are categorized based on urgency. Urgent recalls (dringende Ruckrufe) highlight a safety risk requiring immediate action from owners due to the number of vehicles recalled or critical safety defect, </w:t>
      </w:r>
      <w:hyperlink r:id="rId1" w:history="1">
        <w:r w:rsidRPr="009C3C8B">
          <w:rPr>
            <w:rStyle w:val="Hyperlink"/>
          </w:rPr>
          <w:t>https://www.thomas-krenn.com/redx/tools/mb_download.php/mid.x543041763636374753346b3d/ADAC-auto-club-profile-en.pdf</w:t>
        </w:r>
      </w:hyperlink>
      <w:r>
        <w:t xml:space="preserve"> </w:t>
      </w:r>
    </w:p>
  </w:footnote>
  <w:footnote w:id="3">
    <w:p w14:paraId="020E43F4" w14:textId="0DD1A6D5" w:rsidR="00193318" w:rsidRDefault="00193318">
      <w:pPr>
        <w:pStyle w:val="FootnoteText"/>
      </w:pPr>
      <w:r>
        <w:rPr>
          <w:rStyle w:val="FootnoteReference"/>
        </w:rPr>
        <w:footnoteRef/>
      </w:r>
      <w:r>
        <w:t xml:space="preserve"> NHTSA (National Highway Traffic Safety Administration), DVSA (Driver and Vehicle Standards Agency), KBA (Kraftfahrt-Bundesamt)</w:t>
      </w:r>
    </w:p>
  </w:footnote>
  <w:footnote w:id="4">
    <w:p w14:paraId="2FDFF26F" w14:textId="70E1B16C" w:rsidR="002D61DD" w:rsidRDefault="002D61DD">
      <w:pPr>
        <w:pStyle w:val="FootnoteText"/>
      </w:pPr>
      <w:r w:rsidRPr="0007248D">
        <w:rPr>
          <w:rStyle w:val="FootnoteReference"/>
          <w:rFonts w:ascii="Times New Roman" w:hAnsi="Times New Roman" w:cs="Times New Roman"/>
        </w:rPr>
        <w:footnoteRef/>
      </w:r>
      <w:r w:rsidRPr="0007248D">
        <w:rPr>
          <w:rFonts w:ascii="Times New Roman" w:hAnsi="Times New Roman" w:cs="Times New Roman"/>
        </w:rPr>
        <w:t xml:space="preserve"> </w:t>
      </w:r>
      <w:r w:rsidRPr="00F237C9">
        <w:rPr>
          <w:rFonts w:ascii="Times New Roman" w:hAnsi="Times New Roman" w:cs="Times New Roman"/>
        </w:rPr>
        <w:t>In one instance (NHTSA Campaign Number 10V036000), Toyota recalled versions of its Scion XB because the</w:t>
      </w:r>
      <w:r w:rsidRPr="0021750B">
        <w:rPr>
          <w:rFonts w:ascii="Times New Roman" w:hAnsi="Times New Roman" w:cs="Times New Roman"/>
        </w:rPr>
        <w:t xml:space="preserve"> label on the driver’s</w:t>
      </w:r>
      <w:r>
        <w:rPr>
          <w:rFonts w:ascii="Times New Roman" w:hAnsi="Times New Roman" w:cs="Times New Roman"/>
        </w:rPr>
        <w:t>-</w:t>
      </w:r>
      <w:r w:rsidRPr="0021750B">
        <w:rPr>
          <w:rFonts w:ascii="Times New Roman" w:hAnsi="Times New Roman" w:cs="Times New Roman"/>
        </w:rPr>
        <w:t>side door provided an incorrect load capacity</w:t>
      </w:r>
      <w:r>
        <w:rPr>
          <w:rFonts w:ascii="Times New Roman" w:hAnsi="Times New Roman" w:cs="Times New Roman"/>
        </w:rPr>
        <w:t>, but</w:t>
      </w:r>
      <w:r w:rsidRPr="0021750B">
        <w:rPr>
          <w:rFonts w:ascii="Times New Roman" w:hAnsi="Times New Roman" w:cs="Times New Roman"/>
        </w:rPr>
        <w:t xml:space="preserve"> no mention was made of personal injury due to that fault. Therefore, this recall was coded as a </w:t>
      </w:r>
      <w:r>
        <w:rPr>
          <w:rFonts w:ascii="Times New Roman" w:hAnsi="Times New Roman" w:cs="Times New Roman"/>
        </w:rPr>
        <w:t>1</w:t>
      </w:r>
      <w:r w:rsidRPr="0021750B">
        <w:rPr>
          <w:rFonts w:ascii="Times New Roman" w:hAnsi="Times New Roman" w:cs="Times New Roman"/>
        </w:rPr>
        <w:t>.</w:t>
      </w:r>
    </w:p>
  </w:footnote>
  <w:footnote w:id="5">
    <w:p w14:paraId="0F1B1FD5" w14:textId="702836DE" w:rsidR="00857685" w:rsidRPr="00F276E7" w:rsidRDefault="00857685">
      <w:pPr>
        <w:pStyle w:val="FootnoteText"/>
        <w:rPr>
          <w:rFonts w:ascii="Times New Roman" w:hAnsi="Times New Roman" w:cs="Times New Roman"/>
        </w:rPr>
      </w:pPr>
      <w:r w:rsidRPr="00F276E7">
        <w:rPr>
          <w:rStyle w:val="FootnoteReference"/>
          <w:rFonts w:ascii="Times New Roman" w:hAnsi="Times New Roman" w:cs="Times New Roman"/>
        </w:rPr>
        <w:footnoteRef/>
      </w:r>
      <w:r w:rsidRPr="00F276E7">
        <w:rPr>
          <w:rFonts w:ascii="Times New Roman" w:hAnsi="Times New Roman" w:cs="Times New Roman"/>
        </w:rPr>
        <w:t xml:space="preserve"> In Germany the KBA (German regulatory authority) does not publish the affected number of vehicles.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C6E49"/>
    <w:multiLevelType w:val="hybridMultilevel"/>
    <w:tmpl w:val="C4C8A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F0E82"/>
    <w:multiLevelType w:val="hybridMultilevel"/>
    <w:tmpl w:val="A7FC00C0"/>
    <w:lvl w:ilvl="0" w:tplc="C79E76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848AF"/>
    <w:multiLevelType w:val="multilevel"/>
    <w:tmpl w:val="5CF20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951827"/>
    <w:multiLevelType w:val="hybridMultilevel"/>
    <w:tmpl w:val="35546342"/>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FB2A14"/>
    <w:multiLevelType w:val="hybridMultilevel"/>
    <w:tmpl w:val="DC2AF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5971DF"/>
    <w:multiLevelType w:val="hybridMultilevel"/>
    <w:tmpl w:val="C7140726"/>
    <w:lvl w:ilvl="0" w:tplc="8B4C5C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C43E1B"/>
    <w:multiLevelType w:val="hybridMultilevel"/>
    <w:tmpl w:val="99C0D86E"/>
    <w:lvl w:ilvl="0" w:tplc="9EF481DE">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485D7B"/>
    <w:multiLevelType w:val="hybridMultilevel"/>
    <w:tmpl w:val="E8AEE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83610E"/>
    <w:multiLevelType w:val="hybridMultilevel"/>
    <w:tmpl w:val="4F166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4308632">
    <w:abstractNumId w:val="7"/>
  </w:num>
  <w:num w:numId="2" w16cid:durableId="367221971">
    <w:abstractNumId w:val="8"/>
  </w:num>
  <w:num w:numId="3" w16cid:durableId="650868377">
    <w:abstractNumId w:val="0"/>
  </w:num>
  <w:num w:numId="4" w16cid:durableId="1451825306">
    <w:abstractNumId w:val="4"/>
  </w:num>
  <w:num w:numId="5" w16cid:durableId="1161577178">
    <w:abstractNumId w:val="5"/>
  </w:num>
  <w:num w:numId="6" w16cid:durableId="1335497569">
    <w:abstractNumId w:val="1"/>
  </w:num>
  <w:num w:numId="7" w16cid:durableId="510072625">
    <w:abstractNumId w:val="2"/>
  </w:num>
  <w:num w:numId="8" w16cid:durableId="1385176337">
    <w:abstractNumId w:val="6"/>
  </w:num>
  <w:num w:numId="9" w16cid:durableId="14264204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BBA"/>
    <w:rsid w:val="00000BB7"/>
    <w:rsid w:val="000033A4"/>
    <w:rsid w:val="00003541"/>
    <w:rsid w:val="00003C71"/>
    <w:rsid w:val="00004308"/>
    <w:rsid w:val="00004F98"/>
    <w:rsid w:val="00005B3B"/>
    <w:rsid w:val="00005D6B"/>
    <w:rsid w:val="0000715F"/>
    <w:rsid w:val="00007C96"/>
    <w:rsid w:val="000110DE"/>
    <w:rsid w:val="00011170"/>
    <w:rsid w:val="00011773"/>
    <w:rsid w:val="00011A51"/>
    <w:rsid w:val="00011CE1"/>
    <w:rsid w:val="00011D99"/>
    <w:rsid w:val="0001280C"/>
    <w:rsid w:val="00012EF1"/>
    <w:rsid w:val="00013F7F"/>
    <w:rsid w:val="000141C4"/>
    <w:rsid w:val="00014B00"/>
    <w:rsid w:val="000158B5"/>
    <w:rsid w:val="00015A23"/>
    <w:rsid w:val="00015BC1"/>
    <w:rsid w:val="00016707"/>
    <w:rsid w:val="00016D97"/>
    <w:rsid w:val="00017805"/>
    <w:rsid w:val="00017B72"/>
    <w:rsid w:val="0002060E"/>
    <w:rsid w:val="0002117B"/>
    <w:rsid w:val="0002286F"/>
    <w:rsid w:val="000229F6"/>
    <w:rsid w:val="00023571"/>
    <w:rsid w:val="00023EAC"/>
    <w:rsid w:val="00024D22"/>
    <w:rsid w:val="000252EC"/>
    <w:rsid w:val="00026E83"/>
    <w:rsid w:val="00026ECA"/>
    <w:rsid w:val="00026F2D"/>
    <w:rsid w:val="000312B8"/>
    <w:rsid w:val="000323E7"/>
    <w:rsid w:val="00032B72"/>
    <w:rsid w:val="00032D41"/>
    <w:rsid w:val="00033D85"/>
    <w:rsid w:val="000347DB"/>
    <w:rsid w:val="00034DE8"/>
    <w:rsid w:val="00035658"/>
    <w:rsid w:val="00036753"/>
    <w:rsid w:val="00037C4E"/>
    <w:rsid w:val="000407AF"/>
    <w:rsid w:val="0004194F"/>
    <w:rsid w:val="00042A9F"/>
    <w:rsid w:val="00043885"/>
    <w:rsid w:val="00043BAD"/>
    <w:rsid w:val="000459E1"/>
    <w:rsid w:val="00045F10"/>
    <w:rsid w:val="00045F27"/>
    <w:rsid w:val="00046454"/>
    <w:rsid w:val="000468DA"/>
    <w:rsid w:val="0004692A"/>
    <w:rsid w:val="00046945"/>
    <w:rsid w:val="000503E6"/>
    <w:rsid w:val="00051E3B"/>
    <w:rsid w:val="00051EF7"/>
    <w:rsid w:val="000521BA"/>
    <w:rsid w:val="000530C8"/>
    <w:rsid w:val="000541CF"/>
    <w:rsid w:val="000543A2"/>
    <w:rsid w:val="00054D88"/>
    <w:rsid w:val="00055779"/>
    <w:rsid w:val="0005588F"/>
    <w:rsid w:val="00055C02"/>
    <w:rsid w:val="00055C8D"/>
    <w:rsid w:val="000562D3"/>
    <w:rsid w:val="0006067C"/>
    <w:rsid w:val="00062430"/>
    <w:rsid w:val="00062891"/>
    <w:rsid w:val="000629C1"/>
    <w:rsid w:val="00062B6D"/>
    <w:rsid w:val="00062BD9"/>
    <w:rsid w:val="00063C9E"/>
    <w:rsid w:val="00065207"/>
    <w:rsid w:val="00066F6A"/>
    <w:rsid w:val="00067565"/>
    <w:rsid w:val="000703CD"/>
    <w:rsid w:val="00070FF6"/>
    <w:rsid w:val="0007248D"/>
    <w:rsid w:val="00072635"/>
    <w:rsid w:val="00074A3D"/>
    <w:rsid w:val="00074D28"/>
    <w:rsid w:val="00080A69"/>
    <w:rsid w:val="00081B04"/>
    <w:rsid w:val="00082997"/>
    <w:rsid w:val="0008396F"/>
    <w:rsid w:val="00083A18"/>
    <w:rsid w:val="00083B19"/>
    <w:rsid w:val="00083C02"/>
    <w:rsid w:val="00084C3E"/>
    <w:rsid w:val="00086303"/>
    <w:rsid w:val="0008730B"/>
    <w:rsid w:val="00087733"/>
    <w:rsid w:val="000906DE"/>
    <w:rsid w:val="00091622"/>
    <w:rsid w:val="0009271B"/>
    <w:rsid w:val="0009344D"/>
    <w:rsid w:val="00093542"/>
    <w:rsid w:val="00094AF3"/>
    <w:rsid w:val="0009550B"/>
    <w:rsid w:val="0009613C"/>
    <w:rsid w:val="00096440"/>
    <w:rsid w:val="0009674B"/>
    <w:rsid w:val="00096D50"/>
    <w:rsid w:val="00097669"/>
    <w:rsid w:val="00097B34"/>
    <w:rsid w:val="000A055A"/>
    <w:rsid w:val="000A0665"/>
    <w:rsid w:val="000A115D"/>
    <w:rsid w:val="000A1644"/>
    <w:rsid w:val="000A1B0A"/>
    <w:rsid w:val="000A201A"/>
    <w:rsid w:val="000A2266"/>
    <w:rsid w:val="000A24BC"/>
    <w:rsid w:val="000A30D3"/>
    <w:rsid w:val="000A3C8C"/>
    <w:rsid w:val="000A3DA9"/>
    <w:rsid w:val="000A5A18"/>
    <w:rsid w:val="000A5A34"/>
    <w:rsid w:val="000A5C03"/>
    <w:rsid w:val="000A6EB8"/>
    <w:rsid w:val="000B09E1"/>
    <w:rsid w:val="000B1617"/>
    <w:rsid w:val="000B283E"/>
    <w:rsid w:val="000B2ABD"/>
    <w:rsid w:val="000B3453"/>
    <w:rsid w:val="000B4C39"/>
    <w:rsid w:val="000B577E"/>
    <w:rsid w:val="000B6BBB"/>
    <w:rsid w:val="000B7D07"/>
    <w:rsid w:val="000C068F"/>
    <w:rsid w:val="000C2242"/>
    <w:rsid w:val="000C2ACD"/>
    <w:rsid w:val="000C30F4"/>
    <w:rsid w:val="000C43FF"/>
    <w:rsid w:val="000C4B09"/>
    <w:rsid w:val="000C4EB8"/>
    <w:rsid w:val="000C59C3"/>
    <w:rsid w:val="000C59E7"/>
    <w:rsid w:val="000C5F16"/>
    <w:rsid w:val="000C6674"/>
    <w:rsid w:val="000C6D27"/>
    <w:rsid w:val="000C70E5"/>
    <w:rsid w:val="000C7D6A"/>
    <w:rsid w:val="000D036C"/>
    <w:rsid w:val="000D08C5"/>
    <w:rsid w:val="000D09A9"/>
    <w:rsid w:val="000D0B0E"/>
    <w:rsid w:val="000D1845"/>
    <w:rsid w:val="000D1896"/>
    <w:rsid w:val="000D27B4"/>
    <w:rsid w:val="000D30D5"/>
    <w:rsid w:val="000D3773"/>
    <w:rsid w:val="000D4B0F"/>
    <w:rsid w:val="000D5731"/>
    <w:rsid w:val="000D611C"/>
    <w:rsid w:val="000D63CB"/>
    <w:rsid w:val="000D6BCF"/>
    <w:rsid w:val="000D72F0"/>
    <w:rsid w:val="000D7EA0"/>
    <w:rsid w:val="000E07C9"/>
    <w:rsid w:val="000E1412"/>
    <w:rsid w:val="000E1889"/>
    <w:rsid w:val="000E2215"/>
    <w:rsid w:val="000E273C"/>
    <w:rsid w:val="000E2D79"/>
    <w:rsid w:val="000E2D90"/>
    <w:rsid w:val="000E336D"/>
    <w:rsid w:val="000E36F5"/>
    <w:rsid w:val="000E548D"/>
    <w:rsid w:val="000E60ED"/>
    <w:rsid w:val="000E79E7"/>
    <w:rsid w:val="000F02E6"/>
    <w:rsid w:val="000F05A3"/>
    <w:rsid w:val="000F2A71"/>
    <w:rsid w:val="000F330E"/>
    <w:rsid w:val="000F50B2"/>
    <w:rsid w:val="000F6F48"/>
    <w:rsid w:val="000F7CA5"/>
    <w:rsid w:val="00100AED"/>
    <w:rsid w:val="00100F88"/>
    <w:rsid w:val="001011DA"/>
    <w:rsid w:val="0010125E"/>
    <w:rsid w:val="00101383"/>
    <w:rsid w:val="00101E94"/>
    <w:rsid w:val="00103139"/>
    <w:rsid w:val="00103F56"/>
    <w:rsid w:val="001044E9"/>
    <w:rsid w:val="00105200"/>
    <w:rsid w:val="00105654"/>
    <w:rsid w:val="00105E7F"/>
    <w:rsid w:val="00112268"/>
    <w:rsid w:val="00112BFE"/>
    <w:rsid w:val="00113368"/>
    <w:rsid w:val="001158E5"/>
    <w:rsid w:val="00115E73"/>
    <w:rsid w:val="00117954"/>
    <w:rsid w:val="001205BD"/>
    <w:rsid w:val="00120C2D"/>
    <w:rsid w:val="00121ED4"/>
    <w:rsid w:val="00121F18"/>
    <w:rsid w:val="00123CAC"/>
    <w:rsid w:val="00130EF6"/>
    <w:rsid w:val="00132A27"/>
    <w:rsid w:val="00133144"/>
    <w:rsid w:val="00133DCF"/>
    <w:rsid w:val="00134453"/>
    <w:rsid w:val="001354D0"/>
    <w:rsid w:val="0013614C"/>
    <w:rsid w:val="001369C7"/>
    <w:rsid w:val="00136C2E"/>
    <w:rsid w:val="00137104"/>
    <w:rsid w:val="001376E2"/>
    <w:rsid w:val="001402A5"/>
    <w:rsid w:val="0014058C"/>
    <w:rsid w:val="00140AC6"/>
    <w:rsid w:val="001417B0"/>
    <w:rsid w:val="0014342C"/>
    <w:rsid w:val="00143612"/>
    <w:rsid w:val="001440A4"/>
    <w:rsid w:val="00144606"/>
    <w:rsid w:val="00144F95"/>
    <w:rsid w:val="001452B8"/>
    <w:rsid w:val="00146DE1"/>
    <w:rsid w:val="00147084"/>
    <w:rsid w:val="00147167"/>
    <w:rsid w:val="0014721C"/>
    <w:rsid w:val="001510E7"/>
    <w:rsid w:val="001518E2"/>
    <w:rsid w:val="00151ADA"/>
    <w:rsid w:val="00152FC9"/>
    <w:rsid w:val="00153FC9"/>
    <w:rsid w:val="0015746C"/>
    <w:rsid w:val="0015774E"/>
    <w:rsid w:val="00157E1D"/>
    <w:rsid w:val="00157E7B"/>
    <w:rsid w:val="001600F3"/>
    <w:rsid w:val="0016038E"/>
    <w:rsid w:val="00160A7B"/>
    <w:rsid w:val="00160B18"/>
    <w:rsid w:val="0016253C"/>
    <w:rsid w:val="00162998"/>
    <w:rsid w:val="00163FA2"/>
    <w:rsid w:val="00164488"/>
    <w:rsid w:val="00164C67"/>
    <w:rsid w:val="0016530C"/>
    <w:rsid w:val="001676C0"/>
    <w:rsid w:val="00170252"/>
    <w:rsid w:val="00170E2D"/>
    <w:rsid w:val="00172093"/>
    <w:rsid w:val="0017261C"/>
    <w:rsid w:val="00172DD6"/>
    <w:rsid w:val="00173BB5"/>
    <w:rsid w:val="00174D2C"/>
    <w:rsid w:val="00174FB8"/>
    <w:rsid w:val="001751A0"/>
    <w:rsid w:val="00175B59"/>
    <w:rsid w:val="00176545"/>
    <w:rsid w:val="00176580"/>
    <w:rsid w:val="001766C7"/>
    <w:rsid w:val="00176CAF"/>
    <w:rsid w:val="0017767D"/>
    <w:rsid w:val="00183199"/>
    <w:rsid w:val="00183578"/>
    <w:rsid w:val="001844E5"/>
    <w:rsid w:val="001845BA"/>
    <w:rsid w:val="0018590B"/>
    <w:rsid w:val="00185CF9"/>
    <w:rsid w:val="001865AC"/>
    <w:rsid w:val="00187077"/>
    <w:rsid w:val="001875EB"/>
    <w:rsid w:val="001901F9"/>
    <w:rsid w:val="0019028D"/>
    <w:rsid w:val="00190625"/>
    <w:rsid w:val="00190FFE"/>
    <w:rsid w:val="00191670"/>
    <w:rsid w:val="00193140"/>
    <w:rsid w:val="00193318"/>
    <w:rsid w:val="001934C2"/>
    <w:rsid w:val="00193D44"/>
    <w:rsid w:val="00193E97"/>
    <w:rsid w:val="00194764"/>
    <w:rsid w:val="00194CBC"/>
    <w:rsid w:val="00195B58"/>
    <w:rsid w:val="001967D3"/>
    <w:rsid w:val="001A0F0C"/>
    <w:rsid w:val="001A188C"/>
    <w:rsid w:val="001A1BF1"/>
    <w:rsid w:val="001A37B2"/>
    <w:rsid w:val="001A5C52"/>
    <w:rsid w:val="001A786C"/>
    <w:rsid w:val="001A7CC6"/>
    <w:rsid w:val="001B0348"/>
    <w:rsid w:val="001B1D07"/>
    <w:rsid w:val="001B27E9"/>
    <w:rsid w:val="001B309C"/>
    <w:rsid w:val="001B3ECD"/>
    <w:rsid w:val="001B500D"/>
    <w:rsid w:val="001B51A2"/>
    <w:rsid w:val="001B5798"/>
    <w:rsid w:val="001B5A22"/>
    <w:rsid w:val="001B5C1B"/>
    <w:rsid w:val="001B6DC1"/>
    <w:rsid w:val="001B7381"/>
    <w:rsid w:val="001B7456"/>
    <w:rsid w:val="001C062A"/>
    <w:rsid w:val="001C0A1D"/>
    <w:rsid w:val="001C177B"/>
    <w:rsid w:val="001C1949"/>
    <w:rsid w:val="001C2BC4"/>
    <w:rsid w:val="001C40B7"/>
    <w:rsid w:val="001C492A"/>
    <w:rsid w:val="001C51D0"/>
    <w:rsid w:val="001C578D"/>
    <w:rsid w:val="001C5B31"/>
    <w:rsid w:val="001C664D"/>
    <w:rsid w:val="001C6F3A"/>
    <w:rsid w:val="001C7B64"/>
    <w:rsid w:val="001D0060"/>
    <w:rsid w:val="001D047C"/>
    <w:rsid w:val="001D13DB"/>
    <w:rsid w:val="001D1447"/>
    <w:rsid w:val="001D3375"/>
    <w:rsid w:val="001D398C"/>
    <w:rsid w:val="001D3DF2"/>
    <w:rsid w:val="001D491E"/>
    <w:rsid w:val="001D4D4F"/>
    <w:rsid w:val="001D537A"/>
    <w:rsid w:val="001D53E9"/>
    <w:rsid w:val="001D59AE"/>
    <w:rsid w:val="001D6602"/>
    <w:rsid w:val="001D6B5C"/>
    <w:rsid w:val="001D6BCF"/>
    <w:rsid w:val="001D6EBB"/>
    <w:rsid w:val="001D7793"/>
    <w:rsid w:val="001D7B39"/>
    <w:rsid w:val="001E12F4"/>
    <w:rsid w:val="001E1A97"/>
    <w:rsid w:val="001E1F9D"/>
    <w:rsid w:val="001E3D76"/>
    <w:rsid w:val="001E4D23"/>
    <w:rsid w:val="001E4FDE"/>
    <w:rsid w:val="001E59E5"/>
    <w:rsid w:val="001E5AFC"/>
    <w:rsid w:val="001F011D"/>
    <w:rsid w:val="001F02E1"/>
    <w:rsid w:val="001F06DB"/>
    <w:rsid w:val="001F0EFA"/>
    <w:rsid w:val="001F22ED"/>
    <w:rsid w:val="001F3809"/>
    <w:rsid w:val="001F39F8"/>
    <w:rsid w:val="001F429A"/>
    <w:rsid w:val="001F5CAD"/>
    <w:rsid w:val="001F6261"/>
    <w:rsid w:val="001F664A"/>
    <w:rsid w:val="001F78A6"/>
    <w:rsid w:val="002003A4"/>
    <w:rsid w:val="00200577"/>
    <w:rsid w:val="00200F13"/>
    <w:rsid w:val="00201842"/>
    <w:rsid w:val="00201BE0"/>
    <w:rsid w:val="0020216F"/>
    <w:rsid w:val="00202817"/>
    <w:rsid w:val="00202989"/>
    <w:rsid w:val="00204565"/>
    <w:rsid w:val="00205DEA"/>
    <w:rsid w:val="0020611A"/>
    <w:rsid w:val="002116E0"/>
    <w:rsid w:val="00211D79"/>
    <w:rsid w:val="002133B3"/>
    <w:rsid w:val="00213CB5"/>
    <w:rsid w:val="00214F06"/>
    <w:rsid w:val="00216425"/>
    <w:rsid w:val="0021750B"/>
    <w:rsid w:val="00220886"/>
    <w:rsid w:val="00220D4E"/>
    <w:rsid w:val="00222C41"/>
    <w:rsid w:val="00223090"/>
    <w:rsid w:val="0022405F"/>
    <w:rsid w:val="0022441C"/>
    <w:rsid w:val="0022472B"/>
    <w:rsid w:val="00226737"/>
    <w:rsid w:val="00226CFB"/>
    <w:rsid w:val="002278A8"/>
    <w:rsid w:val="00227DFB"/>
    <w:rsid w:val="00230ABD"/>
    <w:rsid w:val="00231F4B"/>
    <w:rsid w:val="00232486"/>
    <w:rsid w:val="0023281B"/>
    <w:rsid w:val="00232C54"/>
    <w:rsid w:val="002339F8"/>
    <w:rsid w:val="00233A3E"/>
    <w:rsid w:val="002349AC"/>
    <w:rsid w:val="002351F8"/>
    <w:rsid w:val="0023526E"/>
    <w:rsid w:val="002362BA"/>
    <w:rsid w:val="00236571"/>
    <w:rsid w:val="00237146"/>
    <w:rsid w:val="00237969"/>
    <w:rsid w:val="00237CD7"/>
    <w:rsid w:val="00237DD0"/>
    <w:rsid w:val="002406D5"/>
    <w:rsid w:val="002409E7"/>
    <w:rsid w:val="00242D46"/>
    <w:rsid w:val="002437CA"/>
    <w:rsid w:val="00243DA4"/>
    <w:rsid w:val="0024403A"/>
    <w:rsid w:val="00244446"/>
    <w:rsid w:val="002455DA"/>
    <w:rsid w:val="00246544"/>
    <w:rsid w:val="002516F5"/>
    <w:rsid w:val="00251B80"/>
    <w:rsid w:val="00253B6B"/>
    <w:rsid w:val="0025425E"/>
    <w:rsid w:val="00255ADC"/>
    <w:rsid w:val="00255DDB"/>
    <w:rsid w:val="002565C1"/>
    <w:rsid w:val="002565D0"/>
    <w:rsid w:val="00260A52"/>
    <w:rsid w:val="00260FCA"/>
    <w:rsid w:val="00261040"/>
    <w:rsid w:val="00261239"/>
    <w:rsid w:val="002619E9"/>
    <w:rsid w:val="00262EFA"/>
    <w:rsid w:val="00263402"/>
    <w:rsid w:val="0026540F"/>
    <w:rsid w:val="00265525"/>
    <w:rsid w:val="00267B4D"/>
    <w:rsid w:val="00267C56"/>
    <w:rsid w:val="00271B37"/>
    <w:rsid w:val="00271F0E"/>
    <w:rsid w:val="00272423"/>
    <w:rsid w:val="00272A84"/>
    <w:rsid w:val="00273CE3"/>
    <w:rsid w:val="00273D05"/>
    <w:rsid w:val="002744C2"/>
    <w:rsid w:val="002746AA"/>
    <w:rsid w:val="00274DD4"/>
    <w:rsid w:val="00276090"/>
    <w:rsid w:val="00276AE0"/>
    <w:rsid w:val="002772D5"/>
    <w:rsid w:val="0027742E"/>
    <w:rsid w:val="002774F0"/>
    <w:rsid w:val="002776E4"/>
    <w:rsid w:val="00277755"/>
    <w:rsid w:val="00281757"/>
    <w:rsid w:val="00281EE7"/>
    <w:rsid w:val="002826D2"/>
    <w:rsid w:val="00282AFE"/>
    <w:rsid w:val="0028446A"/>
    <w:rsid w:val="00284F1B"/>
    <w:rsid w:val="002854AF"/>
    <w:rsid w:val="00285686"/>
    <w:rsid w:val="00285E6E"/>
    <w:rsid w:val="00286B1F"/>
    <w:rsid w:val="00286EC4"/>
    <w:rsid w:val="00287990"/>
    <w:rsid w:val="0029010F"/>
    <w:rsid w:val="002904AF"/>
    <w:rsid w:val="002925CF"/>
    <w:rsid w:val="00292754"/>
    <w:rsid w:val="002929DD"/>
    <w:rsid w:val="00293747"/>
    <w:rsid w:val="002942B7"/>
    <w:rsid w:val="002949F7"/>
    <w:rsid w:val="00296636"/>
    <w:rsid w:val="0029753F"/>
    <w:rsid w:val="00297D1D"/>
    <w:rsid w:val="002A007E"/>
    <w:rsid w:val="002A109A"/>
    <w:rsid w:val="002A14A2"/>
    <w:rsid w:val="002A313A"/>
    <w:rsid w:val="002A353B"/>
    <w:rsid w:val="002A382F"/>
    <w:rsid w:val="002A4017"/>
    <w:rsid w:val="002A59E2"/>
    <w:rsid w:val="002A5CB8"/>
    <w:rsid w:val="002A7101"/>
    <w:rsid w:val="002A7E63"/>
    <w:rsid w:val="002B0D20"/>
    <w:rsid w:val="002B144A"/>
    <w:rsid w:val="002B348B"/>
    <w:rsid w:val="002B5415"/>
    <w:rsid w:val="002B5DC8"/>
    <w:rsid w:val="002B649F"/>
    <w:rsid w:val="002B7E5E"/>
    <w:rsid w:val="002C01C6"/>
    <w:rsid w:val="002C0804"/>
    <w:rsid w:val="002C0E3E"/>
    <w:rsid w:val="002C0FBA"/>
    <w:rsid w:val="002C18E7"/>
    <w:rsid w:val="002C2995"/>
    <w:rsid w:val="002C2A17"/>
    <w:rsid w:val="002C3480"/>
    <w:rsid w:val="002C3581"/>
    <w:rsid w:val="002C3CE6"/>
    <w:rsid w:val="002C4087"/>
    <w:rsid w:val="002C465A"/>
    <w:rsid w:val="002C6406"/>
    <w:rsid w:val="002C7167"/>
    <w:rsid w:val="002D2B42"/>
    <w:rsid w:val="002D5035"/>
    <w:rsid w:val="002D61DD"/>
    <w:rsid w:val="002D61EC"/>
    <w:rsid w:val="002D6A77"/>
    <w:rsid w:val="002D6F45"/>
    <w:rsid w:val="002D761C"/>
    <w:rsid w:val="002D7733"/>
    <w:rsid w:val="002E0216"/>
    <w:rsid w:val="002E1C4E"/>
    <w:rsid w:val="002E25F6"/>
    <w:rsid w:val="002E281D"/>
    <w:rsid w:val="002E32A9"/>
    <w:rsid w:val="002E3C5D"/>
    <w:rsid w:val="002E45F6"/>
    <w:rsid w:val="002E4FF9"/>
    <w:rsid w:val="002E5197"/>
    <w:rsid w:val="002E6914"/>
    <w:rsid w:val="002E7E36"/>
    <w:rsid w:val="002F00DE"/>
    <w:rsid w:val="002F2124"/>
    <w:rsid w:val="002F2832"/>
    <w:rsid w:val="002F2988"/>
    <w:rsid w:val="002F2B0E"/>
    <w:rsid w:val="002F400F"/>
    <w:rsid w:val="002F4801"/>
    <w:rsid w:val="002F5115"/>
    <w:rsid w:val="002F5190"/>
    <w:rsid w:val="002F5576"/>
    <w:rsid w:val="002F602F"/>
    <w:rsid w:val="002F636A"/>
    <w:rsid w:val="00300038"/>
    <w:rsid w:val="0030015A"/>
    <w:rsid w:val="003004EE"/>
    <w:rsid w:val="00300565"/>
    <w:rsid w:val="00300718"/>
    <w:rsid w:val="00300A57"/>
    <w:rsid w:val="00300AC4"/>
    <w:rsid w:val="00300B3B"/>
    <w:rsid w:val="0030194A"/>
    <w:rsid w:val="003024AA"/>
    <w:rsid w:val="00302978"/>
    <w:rsid w:val="00302D64"/>
    <w:rsid w:val="00302EB8"/>
    <w:rsid w:val="00303584"/>
    <w:rsid w:val="00304DEE"/>
    <w:rsid w:val="00305524"/>
    <w:rsid w:val="00310466"/>
    <w:rsid w:val="0031203F"/>
    <w:rsid w:val="0031213A"/>
    <w:rsid w:val="00312C4F"/>
    <w:rsid w:val="00313772"/>
    <w:rsid w:val="00314258"/>
    <w:rsid w:val="00314719"/>
    <w:rsid w:val="0031485D"/>
    <w:rsid w:val="00314D3A"/>
    <w:rsid w:val="00314EEC"/>
    <w:rsid w:val="003151BA"/>
    <w:rsid w:val="003156E7"/>
    <w:rsid w:val="00315D7E"/>
    <w:rsid w:val="00316947"/>
    <w:rsid w:val="003170D5"/>
    <w:rsid w:val="00320002"/>
    <w:rsid w:val="003213F9"/>
    <w:rsid w:val="00321A1B"/>
    <w:rsid w:val="00323514"/>
    <w:rsid w:val="0032435A"/>
    <w:rsid w:val="00324FBF"/>
    <w:rsid w:val="00325171"/>
    <w:rsid w:val="003254E8"/>
    <w:rsid w:val="00327974"/>
    <w:rsid w:val="0033161D"/>
    <w:rsid w:val="00331972"/>
    <w:rsid w:val="0033257F"/>
    <w:rsid w:val="00332960"/>
    <w:rsid w:val="003332F4"/>
    <w:rsid w:val="00333BF0"/>
    <w:rsid w:val="003348AC"/>
    <w:rsid w:val="00334E91"/>
    <w:rsid w:val="00336543"/>
    <w:rsid w:val="003367D9"/>
    <w:rsid w:val="00337ACF"/>
    <w:rsid w:val="00342B6D"/>
    <w:rsid w:val="00343F4D"/>
    <w:rsid w:val="00344408"/>
    <w:rsid w:val="00345311"/>
    <w:rsid w:val="003463E1"/>
    <w:rsid w:val="00346F1D"/>
    <w:rsid w:val="0034725A"/>
    <w:rsid w:val="00347D4C"/>
    <w:rsid w:val="00347E1E"/>
    <w:rsid w:val="00351BCA"/>
    <w:rsid w:val="00352402"/>
    <w:rsid w:val="00353437"/>
    <w:rsid w:val="003537B3"/>
    <w:rsid w:val="003542C8"/>
    <w:rsid w:val="00355F96"/>
    <w:rsid w:val="0035643D"/>
    <w:rsid w:val="00356F23"/>
    <w:rsid w:val="003577D2"/>
    <w:rsid w:val="00357FC5"/>
    <w:rsid w:val="00360B1A"/>
    <w:rsid w:val="00360B53"/>
    <w:rsid w:val="00360E54"/>
    <w:rsid w:val="00360E8C"/>
    <w:rsid w:val="00361F5F"/>
    <w:rsid w:val="00363FF1"/>
    <w:rsid w:val="0036485D"/>
    <w:rsid w:val="0036577C"/>
    <w:rsid w:val="00365C55"/>
    <w:rsid w:val="0036690F"/>
    <w:rsid w:val="00366F4C"/>
    <w:rsid w:val="0036777F"/>
    <w:rsid w:val="00367850"/>
    <w:rsid w:val="00367861"/>
    <w:rsid w:val="00370068"/>
    <w:rsid w:val="0037047A"/>
    <w:rsid w:val="00370C3C"/>
    <w:rsid w:val="00373C9D"/>
    <w:rsid w:val="00374A61"/>
    <w:rsid w:val="00374FA5"/>
    <w:rsid w:val="00375F87"/>
    <w:rsid w:val="003765F5"/>
    <w:rsid w:val="0037703A"/>
    <w:rsid w:val="00377A1A"/>
    <w:rsid w:val="0038098E"/>
    <w:rsid w:val="00380C71"/>
    <w:rsid w:val="003810DF"/>
    <w:rsid w:val="00382763"/>
    <w:rsid w:val="00382FC9"/>
    <w:rsid w:val="003835C7"/>
    <w:rsid w:val="003841D8"/>
    <w:rsid w:val="00384AB0"/>
    <w:rsid w:val="00384BA9"/>
    <w:rsid w:val="00385D23"/>
    <w:rsid w:val="003873BC"/>
    <w:rsid w:val="003874A4"/>
    <w:rsid w:val="00387C55"/>
    <w:rsid w:val="00395047"/>
    <w:rsid w:val="00395DF2"/>
    <w:rsid w:val="00396244"/>
    <w:rsid w:val="00396C0D"/>
    <w:rsid w:val="003A0637"/>
    <w:rsid w:val="003A077C"/>
    <w:rsid w:val="003A0CEC"/>
    <w:rsid w:val="003A63FD"/>
    <w:rsid w:val="003A6D20"/>
    <w:rsid w:val="003A6F45"/>
    <w:rsid w:val="003A71E5"/>
    <w:rsid w:val="003A7A89"/>
    <w:rsid w:val="003A7D4A"/>
    <w:rsid w:val="003B0993"/>
    <w:rsid w:val="003B189D"/>
    <w:rsid w:val="003B1C26"/>
    <w:rsid w:val="003B1DD8"/>
    <w:rsid w:val="003B1F29"/>
    <w:rsid w:val="003B25DC"/>
    <w:rsid w:val="003B26F4"/>
    <w:rsid w:val="003B3038"/>
    <w:rsid w:val="003B371D"/>
    <w:rsid w:val="003B6BD2"/>
    <w:rsid w:val="003B6D8C"/>
    <w:rsid w:val="003B71F8"/>
    <w:rsid w:val="003B725E"/>
    <w:rsid w:val="003B76C3"/>
    <w:rsid w:val="003B7898"/>
    <w:rsid w:val="003C02B6"/>
    <w:rsid w:val="003C14AA"/>
    <w:rsid w:val="003C2512"/>
    <w:rsid w:val="003C3BDF"/>
    <w:rsid w:val="003C5809"/>
    <w:rsid w:val="003C5DDE"/>
    <w:rsid w:val="003C6432"/>
    <w:rsid w:val="003C7060"/>
    <w:rsid w:val="003C7373"/>
    <w:rsid w:val="003D09AA"/>
    <w:rsid w:val="003D22BD"/>
    <w:rsid w:val="003D2F5D"/>
    <w:rsid w:val="003D325A"/>
    <w:rsid w:val="003D3D1C"/>
    <w:rsid w:val="003D3EB7"/>
    <w:rsid w:val="003D44A2"/>
    <w:rsid w:val="003D47BA"/>
    <w:rsid w:val="003D57D2"/>
    <w:rsid w:val="003D58C6"/>
    <w:rsid w:val="003D5E18"/>
    <w:rsid w:val="003D69C5"/>
    <w:rsid w:val="003D714C"/>
    <w:rsid w:val="003D770C"/>
    <w:rsid w:val="003D7A3E"/>
    <w:rsid w:val="003E0736"/>
    <w:rsid w:val="003E1365"/>
    <w:rsid w:val="003E1680"/>
    <w:rsid w:val="003E2263"/>
    <w:rsid w:val="003E22EB"/>
    <w:rsid w:val="003E23CC"/>
    <w:rsid w:val="003E2A4D"/>
    <w:rsid w:val="003E3941"/>
    <w:rsid w:val="003E440A"/>
    <w:rsid w:val="003E45DF"/>
    <w:rsid w:val="003E4F1E"/>
    <w:rsid w:val="003E586C"/>
    <w:rsid w:val="003E5DE0"/>
    <w:rsid w:val="003E6E26"/>
    <w:rsid w:val="003E734A"/>
    <w:rsid w:val="003F027C"/>
    <w:rsid w:val="003F08CD"/>
    <w:rsid w:val="003F2CC7"/>
    <w:rsid w:val="003F300B"/>
    <w:rsid w:val="003F3807"/>
    <w:rsid w:val="003F4880"/>
    <w:rsid w:val="003F4FA8"/>
    <w:rsid w:val="003F5CA3"/>
    <w:rsid w:val="003F63BA"/>
    <w:rsid w:val="003F6CBF"/>
    <w:rsid w:val="003F6F2B"/>
    <w:rsid w:val="004009D5"/>
    <w:rsid w:val="00400DF1"/>
    <w:rsid w:val="00400E46"/>
    <w:rsid w:val="00402390"/>
    <w:rsid w:val="004023D2"/>
    <w:rsid w:val="004036D2"/>
    <w:rsid w:val="00403721"/>
    <w:rsid w:val="00404265"/>
    <w:rsid w:val="00404F58"/>
    <w:rsid w:val="00406861"/>
    <w:rsid w:val="00406ACB"/>
    <w:rsid w:val="00407B25"/>
    <w:rsid w:val="00407FF9"/>
    <w:rsid w:val="004107B1"/>
    <w:rsid w:val="004125DE"/>
    <w:rsid w:val="004128FF"/>
    <w:rsid w:val="00412A43"/>
    <w:rsid w:val="00412D26"/>
    <w:rsid w:val="00412F7A"/>
    <w:rsid w:val="004134E9"/>
    <w:rsid w:val="00413B70"/>
    <w:rsid w:val="00413FC6"/>
    <w:rsid w:val="004160DD"/>
    <w:rsid w:val="00416274"/>
    <w:rsid w:val="0042002A"/>
    <w:rsid w:val="00422366"/>
    <w:rsid w:val="0042286C"/>
    <w:rsid w:val="004229FF"/>
    <w:rsid w:val="00423AE6"/>
    <w:rsid w:val="00424248"/>
    <w:rsid w:val="00426221"/>
    <w:rsid w:val="0042665D"/>
    <w:rsid w:val="00427E04"/>
    <w:rsid w:val="00427E8C"/>
    <w:rsid w:val="004303B8"/>
    <w:rsid w:val="0043207D"/>
    <w:rsid w:val="00432250"/>
    <w:rsid w:val="0043268D"/>
    <w:rsid w:val="00432B1F"/>
    <w:rsid w:val="00433FFE"/>
    <w:rsid w:val="004342AF"/>
    <w:rsid w:val="00434EB0"/>
    <w:rsid w:val="004373F8"/>
    <w:rsid w:val="0043793B"/>
    <w:rsid w:val="00437CB7"/>
    <w:rsid w:val="0044000E"/>
    <w:rsid w:val="00440569"/>
    <w:rsid w:val="00441482"/>
    <w:rsid w:val="0044166E"/>
    <w:rsid w:val="00442E07"/>
    <w:rsid w:val="00443217"/>
    <w:rsid w:val="00444309"/>
    <w:rsid w:val="0044449B"/>
    <w:rsid w:val="00446955"/>
    <w:rsid w:val="00446BE1"/>
    <w:rsid w:val="00451261"/>
    <w:rsid w:val="0045256E"/>
    <w:rsid w:val="00453115"/>
    <w:rsid w:val="0045348F"/>
    <w:rsid w:val="0045350E"/>
    <w:rsid w:val="0045524F"/>
    <w:rsid w:val="00455AAC"/>
    <w:rsid w:val="0045623E"/>
    <w:rsid w:val="0045753C"/>
    <w:rsid w:val="004606E2"/>
    <w:rsid w:val="0046086B"/>
    <w:rsid w:val="00460D05"/>
    <w:rsid w:val="00460FEC"/>
    <w:rsid w:val="0046626B"/>
    <w:rsid w:val="0046634A"/>
    <w:rsid w:val="00466B21"/>
    <w:rsid w:val="00466B4E"/>
    <w:rsid w:val="0046737C"/>
    <w:rsid w:val="004674E8"/>
    <w:rsid w:val="00467CBF"/>
    <w:rsid w:val="0047043C"/>
    <w:rsid w:val="00470B83"/>
    <w:rsid w:val="00471026"/>
    <w:rsid w:val="0047175A"/>
    <w:rsid w:val="004720DF"/>
    <w:rsid w:val="0047241F"/>
    <w:rsid w:val="004732C6"/>
    <w:rsid w:val="004734D2"/>
    <w:rsid w:val="004739E9"/>
    <w:rsid w:val="00474C9E"/>
    <w:rsid w:val="004750E9"/>
    <w:rsid w:val="004751E6"/>
    <w:rsid w:val="00475894"/>
    <w:rsid w:val="00476AEF"/>
    <w:rsid w:val="00476F2E"/>
    <w:rsid w:val="0047781E"/>
    <w:rsid w:val="00477DC9"/>
    <w:rsid w:val="004802B7"/>
    <w:rsid w:val="00480647"/>
    <w:rsid w:val="00480785"/>
    <w:rsid w:val="00481109"/>
    <w:rsid w:val="00481F84"/>
    <w:rsid w:val="0048261C"/>
    <w:rsid w:val="00482753"/>
    <w:rsid w:val="004838A9"/>
    <w:rsid w:val="00485251"/>
    <w:rsid w:val="00485344"/>
    <w:rsid w:val="00485525"/>
    <w:rsid w:val="00485949"/>
    <w:rsid w:val="004875C4"/>
    <w:rsid w:val="00487B06"/>
    <w:rsid w:val="00487D4B"/>
    <w:rsid w:val="00490F39"/>
    <w:rsid w:val="004910CC"/>
    <w:rsid w:val="004930FC"/>
    <w:rsid w:val="00493AB7"/>
    <w:rsid w:val="00493FEC"/>
    <w:rsid w:val="00495DC4"/>
    <w:rsid w:val="00495FA9"/>
    <w:rsid w:val="00496918"/>
    <w:rsid w:val="00497D4A"/>
    <w:rsid w:val="004A099F"/>
    <w:rsid w:val="004A2621"/>
    <w:rsid w:val="004A2A70"/>
    <w:rsid w:val="004A70EC"/>
    <w:rsid w:val="004A739A"/>
    <w:rsid w:val="004A7707"/>
    <w:rsid w:val="004A7A88"/>
    <w:rsid w:val="004B0AF6"/>
    <w:rsid w:val="004B152A"/>
    <w:rsid w:val="004B2525"/>
    <w:rsid w:val="004B3089"/>
    <w:rsid w:val="004B45FE"/>
    <w:rsid w:val="004B557C"/>
    <w:rsid w:val="004B57CE"/>
    <w:rsid w:val="004B591E"/>
    <w:rsid w:val="004B5EEF"/>
    <w:rsid w:val="004B6000"/>
    <w:rsid w:val="004B6602"/>
    <w:rsid w:val="004B7237"/>
    <w:rsid w:val="004B7254"/>
    <w:rsid w:val="004B759F"/>
    <w:rsid w:val="004B7605"/>
    <w:rsid w:val="004C0216"/>
    <w:rsid w:val="004C0BD9"/>
    <w:rsid w:val="004C0FFB"/>
    <w:rsid w:val="004C1521"/>
    <w:rsid w:val="004C224E"/>
    <w:rsid w:val="004C2309"/>
    <w:rsid w:val="004C2D74"/>
    <w:rsid w:val="004C2D99"/>
    <w:rsid w:val="004C396F"/>
    <w:rsid w:val="004C4D49"/>
    <w:rsid w:val="004C560A"/>
    <w:rsid w:val="004D1CCC"/>
    <w:rsid w:val="004D23CC"/>
    <w:rsid w:val="004D32A4"/>
    <w:rsid w:val="004D38F2"/>
    <w:rsid w:val="004D5090"/>
    <w:rsid w:val="004D636A"/>
    <w:rsid w:val="004D6A03"/>
    <w:rsid w:val="004D6DAA"/>
    <w:rsid w:val="004E00E6"/>
    <w:rsid w:val="004E0C4F"/>
    <w:rsid w:val="004E11ED"/>
    <w:rsid w:val="004E1804"/>
    <w:rsid w:val="004E347F"/>
    <w:rsid w:val="004E3A7D"/>
    <w:rsid w:val="004E56CB"/>
    <w:rsid w:val="004E5C05"/>
    <w:rsid w:val="004E6DEF"/>
    <w:rsid w:val="004E703A"/>
    <w:rsid w:val="004E7E3B"/>
    <w:rsid w:val="004F025D"/>
    <w:rsid w:val="004F0741"/>
    <w:rsid w:val="004F0A63"/>
    <w:rsid w:val="004F0F1C"/>
    <w:rsid w:val="004F16B9"/>
    <w:rsid w:val="004F1712"/>
    <w:rsid w:val="004F1EAE"/>
    <w:rsid w:val="004F2265"/>
    <w:rsid w:val="004F2564"/>
    <w:rsid w:val="004F4EB1"/>
    <w:rsid w:val="004F54FB"/>
    <w:rsid w:val="004F5F13"/>
    <w:rsid w:val="004F77A3"/>
    <w:rsid w:val="004F77CA"/>
    <w:rsid w:val="004F7A80"/>
    <w:rsid w:val="004F7BF6"/>
    <w:rsid w:val="004F7EF6"/>
    <w:rsid w:val="0050072A"/>
    <w:rsid w:val="00501139"/>
    <w:rsid w:val="00501190"/>
    <w:rsid w:val="005023BD"/>
    <w:rsid w:val="00502469"/>
    <w:rsid w:val="00502653"/>
    <w:rsid w:val="00502ADE"/>
    <w:rsid w:val="00502BDA"/>
    <w:rsid w:val="00503608"/>
    <w:rsid w:val="005039C3"/>
    <w:rsid w:val="00503E4C"/>
    <w:rsid w:val="0050523C"/>
    <w:rsid w:val="00505254"/>
    <w:rsid w:val="005062D9"/>
    <w:rsid w:val="00507099"/>
    <w:rsid w:val="005077E9"/>
    <w:rsid w:val="0051042E"/>
    <w:rsid w:val="00510A3C"/>
    <w:rsid w:val="00511527"/>
    <w:rsid w:val="00511A04"/>
    <w:rsid w:val="00512E56"/>
    <w:rsid w:val="00513E9D"/>
    <w:rsid w:val="005152AD"/>
    <w:rsid w:val="00515681"/>
    <w:rsid w:val="00516EC2"/>
    <w:rsid w:val="00520D04"/>
    <w:rsid w:val="0052131E"/>
    <w:rsid w:val="00521FEC"/>
    <w:rsid w:val="00522596"/>
    <w:rsid w:val="00523004"/>
    <w:rsid w:val="00523A85"/>
    <w:rsid w:val="00523CA4"/>
    <w:rsid w:val="00523FBA"/>
    <w:rsid w:val="00524B73"/>
    <w:rsid w:val="00525034"/>
    <w:rsid w:val="0052639B"/>
    <w:rsid w:val="00527DF7"/>
    <w:rsid w:val="005301F8"/>
    <w:rsid w:val="005307C6"/>
    <w:rsid w:val="00530FA5"/>
    <w:rsid w:val="0053172B"/>
    <w:rsid w:val="005320DB"/>
    <w:rsid w:val="0053231F"/>
    <w:rsid w:val="005340A5"/>
    <w:rsid w:val="005342CE"/>
    <w:rsid w:val="00536199"/>
    <w:rsid w:val="00537699"/>
    <w:rsid w:val="00540140"/>
    <w:rsid w:val="00540D8E"/>
    <w:rsid w:val="00541857"/>
    <w:rsid w:val="00541DED"/>
    <w:rsid w:val="00545275"/>
    <w:rsid w:val="00545775"/>
    <w:rsid w:val="00545F9D"/>
    <w:rsid w:val="00546106"/>
    <w:rsid w:val="00546232"/>
    <w:rsid w:val="005462B3"/>
    <w:rsid w:val="00546DED"/>
    <w:rsid w:val="00547277"/>
    <w:rsid w:val="00547CBF"/>
    <w:rsid w:val="00547F4C"/>
    <w:rsid w:val="005504A6"/>
    <w:rsid w:val="005506DB"/>
    <w:rsid w:val="00550B33"/>
    <w:rsid w:val="005514F5"/>
    <w:rsid w:val="005521D2"/>
    <w:rsid w:val="0055281E"/>
    <w:rsid w:val="00553BF4"/>
    <w:rsid w:val="00553EB5"/>
    <w:rsid w:val="0055653C"/>
    <w:rsid w:val="00556E75"/>
    <w:rsid w:val="0056072A"/>
    <w:rsid w:val="005625A2"/>
    <w:rsid w:val="0056286A"/>
    <w:rsid w:val="00562B23"/>
    <w:rsid w:val="00562EB5"/>
    <w:rsid w:val="005633D7"/>
    <w:rsid w:val="005637A7"/>
    <w:rsid w:val="005652DB"/>
    <w:rsid w:val="005652E8"/>
    <w:rsid w:val="00566097"/>
    <w:rsid w:val="005718BD"/>
    <w:rsid w:val="00573DF2"/>
    <w:rsid w:val="00574AB9"/>
    <w:rsid w:val="00574C32"/>
    <w:rsid w:val="0057695E"/>
    <w:rsid w:val="00576DEA"/>
    <w:rsid w:val="00581136"/>
    <w:rsid w:val="00582EE8"/>
    <w:rsid w:val="0058404F"/>
    <w:rsid w:val="005845F8"/>
    <w:rsid w:val="00584A10"/>
    <w:rsid w:val="00584D83"/>
    <w:rsid w:val="0058515A"/>
    <w:rsid w:val="005852D6"/>
    <w:rsid w:val="00586647"/>
    <w:rsid w:val="00586AF2"/>
    <w:rsid w:val="005873A4"/>
    <w:rsid w:val="00590C61"/>
    <w:rsid w:val="00590FF2"/>
    <w:rsid w:val="00591360"/>
    <w:rsid w:val="00592185"/>
    <w:rsid w:val="00592A0B"/>
    <w:rsid w:val="0059324C"/>
    <w:rsid w:val="00594030"/>
    <w:rsid w:val="00594121"/>
    <w:rsid w:val="00594471"/>
    <w:rsid w:val="00594958"/>
    <w:rsid w:val="0059558F"/>
    <w:rsid w:val="00595BC7"/>
    <w:rsid w:val="005962DC"/>
    <w:rsid w:val="005973C7"/>
    <w:rsid w:val="00597541"/>
    <w:rsid w:val="005977C2"/>
    <w:rsid w:val="005A1A2B"/>
    <w:rsid w:val="005A1B27"/>
    <w:rsid w:val="005A1B7A"/>
    <w:rsid w:val="005A277D"/>
    <w:rsid w:val="005A28B9"/>
    <w:rsid w:val="005A38A0"/>
    <w:rsid w:val="005A44C8"/>
    <w:rsid w:val="005A4628"/>
    <w:rsid w:val="005A71FB"/>
    <w:rsid w:val="005A7530"/>
    <w:rsid w:val="005A76C8"/>
    <w:rsid w:val="005A77C1"/>
    <w:rsid w:val="005A7917"/>
    <w:rsid w:val="005A7924"/>
    <w:rsid w:val="005A7C87"/>
    <w:rsid w:val="005B15C7"/>
    <w:rsid w:val="005B1925"/>
    <w:rsid w:val="005B27E9"/>
    <w:rsid w:val="005B44AC"/>
    <w:rsid w:val="005C0338"/>
    <w:rsid w:val="005C08A0"/>
    <w:rsid w:val="005C0DDC"/>
    <w:rsid w:val="005C1C36"/>
    <w:rsid w:val="005C1CC2"/>
    <w:rsid w:val="005C2F37"/>
    <w:rsid w:val="005C471B"/>
    <w:rsid w:val="005C4865"/>
    <w:rsid w:val="005C4B65"/>
    <w:rsid w:val="005C4D4C"/>
    <w:rsid w:val="005C5016"/>
    <w:rsid w:val="005C5710"/>
    <w:rsid w:val="005C5BB4"/>
    <w:rsid w:val="005C67D7"/>
    <w:rsid w:val="005C6F4C"/>
    <w:rsid w:val="005C74DF"/>
    <w:rsid w:val="005C7E2B"/>
    <w:rsid w:val="005D02A8"/>
    <w:rsid w:val="005D1841"/>
    <w:rsid w:val="005D284C"/>
    <w:rsid w:val="005D2C54"/>
    <w:rsid w:val="005D340F"/>
    <w:rsid w:val="005D34C6"/>
    <w:rsid w:val="005D3CA4"/>
    <w:rsid w:val="005D60AA"/>
    <w:rsid w:val="005D7215"/>
    <w:rsid w:val="005D77B7"/>
    <w:rsid w:val="005D7CA9"/>
    <w:rsid w:val="005E18BE"/>
    <w:rsid w:val="005E20F0"/>
    <w:rsid w:val="005E25FA"/>
    <w:rsid w:val="005E33E8"/>
    <w:rsid w:val="005E3594"/>
    <w:rsid w:val="005E371D"/>
    <w:rsid w:val="005E49A5"/>
    <w:rsid w:val="005E4C79"/>
    <w:rsid w:val="005E51CF"/>
    <w:rsid w:val="005E63A7"/>
    <w:rsid w:val="005E6DA4"/>
    <w:rsid w:val="005E75C8"/>
    <w:rsid w:val="005F0142"/>
    <w:rsid w:val="005F0626"/>
    <w:rsid w:val="005F1A80"/>
    <w:rsid w:val="005F2DD8"/>
    <w:rsid w:val="005F3219"/>
    <w:rsid w:val="005F43AF"/>
    <w:rsid w:val="005F4EE1"/>
    <w:rsid w:val="005F6150"/>
    <w:rsid w:val="005F6AEC"/>
    <w:rsid w:val="005F70BE"/>
    <w:rsid w:val="005F7E89"/>
    <w:rsid w:val="006000C1"/>
    <w:rsid w:val="00601996"/>
    <w:rsid w:val="00603472"/>
    <w:rsid w:val="0060376D"/>
    <w:rsid w:val="00603D15"/>
    <w:rsid w:val="0060425A"/>
    <w:rsid w:val="006048BD"/>
    <w:rsid w:val="006051D1"/>
    <w:rsid w:val="00606A10"/>
    <w:rsid w:val="00606EE0"/>
    <w:rsid w:val="00607163"/>
    <w:rsid w:val="00607CA1"/>
    <w:rsid w:val="00610B84"/>
    <w:rsid w:val="0061125B"/>
    <w:rsid w:val="00611C1D"/>
    <w:rsid w:val="00611FDC"/>
    <w:rsid w:val="00612299"/>
    <w:rsid w:val="00612EB5"/>
    <w:rsid w:val="00612F15"/>
    <w:rsid w:val="00614764"/>
    <w:rsid w:val="0061479A"/>
    <w:rsid w:val="00615187"/>
    <w:rsid w:val="00615BEC"/>
    <w:rsid w:val="00615E16"/>
    <w:rsid w:val="00615EC6"/>
    <w:rsid w:val="00615FEE"/>
    <w:rsid w:val="00616824"/>
    <w:rsid w:val="00617942"/>
    <w:rsid w:val="006202BB"/>
    <w:rsid w:val="006203CD"/>
    <w:rsid w:val="00621059"/>
    <w:rsid w:val="006217F1"/>
    <w:rsid w:val="006230EC"/>
    <w:rsid w:val="00623369"/>
    <w:rsid w:val="00624188"/>
    <w:rsid w:val="0062439A"/>
    <w:rsid w:val="006245C8"/>
    <w:rsid w:val="00624B19"/>
    <w:rsid w:val="00624E7D"/>
    <w:rsid w:val="00625290"/>
    <w:rsid w:val="00625546"/>
    <w:rsid w:val="00626B51"/>
    <w:rsid w:val="00627072"/>
    <w:rsid w:val="0062738F"/>
    <w:rsid w:val="00627E5A"/>
    <w:rsid w:val="006302CD"/>
    <w:rsid w:val="006303F3"/>
    <w:rsid w:val="006310FA"/>
    <w:rsid w:val="00631C7A"/>
    <w:rsid w:val="006324E2"/>
    <w:rsid w:val="00632B34"/>
    <w:rsid w:val="00633963"/>
    <w:rsid w:val="00633F1A"/>
    <w:rsid w:val="00634381"/>
    <w:rsid w:val="00634AEA"/>
    <w:rsid w:val="0063573B"/>
    <w:rsid w:val="00635990"/>
    <w:rsid w:val="006365EE"/>
    <w:rsid w:val="00636F2E"/>
    <w:rsid w:val="0063771D"/>
    <w:rsid w:val="00640E30"/>
    <w:rsid w:val="006412D8"/>
    <w:rsid w:val="00641C16"/>
    <w:rsid w:val="00643044"/>
    <w:rsid w:val="006459CD"/>
    <w:rsid w:val="006468F3"/>
    <w:rsid w:val="006477B6"/>
    <w:rsid w:val="0065233E"/>
    <w:rsid w:val="0065271C"/>
    <w:rsid w:val="0065523B"/>
    <w:rsid w:val="00655715"/>
    <w:rsid w:val="00655723"/>
    <w:rsid w:val="006558D0"/>
    <w:rsid w:val="00656CF6"/>
    <w:rsid w:val="00657918"/>
    <w:rsid w:val="00660AAC"/>
    <w:rsid w:val="00661304"/>
    <w:rsid w:val="00661639"/>
    <w:rsid w:val="0066172E"/>
    <w:rsid w:val="00661A8D"/>
    <w:rsid w:val="00662212"/>
    <w:rsid w:val="0066244C"/>
    <w:rsid w:val="0066681C"/>
    <w:rsid w:val="00667542"/>
    <w:rsid w:val="00671055"/>
    <w:rsid w:val="0067105D"/>
    <w:rsid w:val="00671692"/>
    <w:rsid w:val="00671BD4"/>
    <w:rsid w:val="00672221"/>
    <w:rsid w:val="00673FF4"/>
    <w:rsid w:val="006743D9"/>
    <w:rsid w:val="0067581A"/>
    <w:rsid w:val="006770CF"/>
    <w:rsid w:val="0067779D"/>
    <w:rsid w:val="00677BC7"/>
    <w:rsid w:val="00680C93"/>
    <w:rsid w:val="00680FDB"/>
    <w:rsid w:val="00680FF6"/>
    <w:rsid w:val="00681EFD"/>
    <w:rsid w:val="00683676"/>
    <w:rsid w:val="00686002"/>
    <w:rsid w:val="006866E5"/>
    <w:rsid w:val="0068692A"/>
    <w:rsid w:val="006902BE"/>
    <w:rsid w:val="00690394"/>
    <w:rsid w:val="00691CA4"/>
    <w:rsid w:val="00692604"/>
    <w:rsid w:val="006934A2"/>
    <w:rsid w:val="0069446E"/>
    <w:rsid w:val="0069455D"/>
    <w:rsid w:val="00695005"/>
    <w:rsid w:val="006950A1"/>
    <w:rsid w:val="006953B8"/>
    <w:rsid w:val="006956B9"/>
    <w:rsid w:val="0069684F"/>
    <w:rsid w:val="0069707B"/>
    <w:rsid w:val="006A0AAD"/>
    <w:rsid w:val="006A0FE9"/>
    <w:rsid w:val="006A22CC"/>
    <w:rsid w:val="006A30EB"/>
    <w:rsid w:val="006A3C25"/>
    <w:rsid w:val="006A3D6F"/>
    <w:rsid w:val="006A43CD"/>
    <w:rsid w:val="006A4921"/>
    <w:rsid w:val="006A79B6"/>
    <w:rsid w:val="006A7C7A"/>
    <w:rsid w:val="006B03C3"/>
    <w:rsid w:val="006B07F4"/>
    <w:rsid w:val="006B1332"/>
    <w:rsid w:val="006B139E"/>
    <w:rsid w:val="006B282D"/>
    <w:rsid w:val="006B2883"/>
    <w:rsid w:val="006B38C4"/>
    <w:rsid w:val="006B3FBD"/>
    <w:rsid w:val="006B4727"/>
    <w:rsid w:val="006B585F"/>
    <w:rsid w:val="006B5A26"/>
    <w:rsid w:val="006B68C7"/>
    <w:rsid w:val="006B7016"/>
    <w:rsid w:val="006B7193"/>
    <w:rsid w:val="006B7295"/>
    <w:rsid w:val="006B73E0"/>
    <w:rsid w:val="006B768D"/>
    <w:rsid w:val="006B794E"/>
    <w:rsid w:val="006C0644"/>
    <w:rsid w:val="006C0BEC"/>
    <w:rsid w:val="006C245E"/>
    <w:rsid w:val="006C2BBA"/>
    <w:rsid w:val="006C31B8"/>
    <w:rsid w:val="006C357E"/>
    <w:rsid w:val="006C37DF"/>
    <w:rsid w:val="006C4426"/>
    <w:rsid w:val="006C4BD0"/>
    <w:rsid w:val="006C4E27"/>
    <w:rsid w:val="006C5C43"/>
    <w:rsid w:val="006C6A06"/>
    <w:rsid w:val="006C77E5"/>
    <w:rsid w:val="006C79FC"/>
    <w:rsid w:val="006C7E92"/>
    <w:rsid w:val="006D07C4"/>
    <w:rsid w:val="006D0ABC"/>
    <w:rsid w:val="006D1AE6"/>
    <w:rsid w:val="006D28FB"/>
    <w:rsid w:val="006D4034"/>
    <w:rsid w:val="006D525B"/>
    <w:rsid w:val="006D5FDD"/>
    <w:rsid w:val="006D6AFD"/>
    <w:rsid w:val="006D6BE7"/>
    <w:rsid w:val="006D7BA0"/>
    <w:rsid w:val="006E0800"/>
    <w:rsid w:val="006E0B20"/>
    <w:rsid w:val="006E1E22"/>
    <w:rsid w:val="006E2A70"/>
    <w:rsid w:val="006E3707"/>
    <w:rsid w:val="006E3ED8"/>
    <w:rsid w:val="006E4211"/>
    <w:rsid w:val="006E44CB"/>
    <w:rsid w:val="006E50D6"/>
    <w:rsid w:val="006E7629"/>
    <w:rsid w:val="006E7E01"/>
    <w:rsid w:val="006E7FE7"/>
    <w:rsid w:val="006F072C"/>
    <w:rsid w:val="006F1B5C"/>
    <w:rsid w:val="006F23AD"/>
    <w:rsid w:val="006F2EE7"/>
    <w:rsid w:val="006F367D"/>
    <w:rsid w:val="006F4332"/>
    <w:rsid w:val="006F78D0"/>
    <w:rsid w:val="00701F74"/>
    <w:rsid w:val="00701FE9"/>
    <w:rsid w:val="0070299B"/>
    <w:rsid w:val="00702CCF"/>
    <w:rsid w:val="007042E3"/>
    <w:rsid w:val="00704A00"/>
    <w:rsid w:val="007062C4"/>
    <w:rsid w:val="007064EB"/>
    <w:rsid w:val="00706709"/>
    <w:rsid w:val="00706783"/>
    <w:rsid w:val="007111A5"/>
    <w:rsid w:val="007112E2"/>
    <w:rsid w:val="00711307"/>
    <w:rsid w:val="007117E5"/>
    <w:rsid w:val="007130AD"/>
    <w:rsid w:val="0071319E"/>
    <w:rsid w:val="007132B9"/>
    <w:rsid w:val="0071376C"/>
    <w:rsid w:val="0071457E"/>
    <w:rsid w:val="0071646E"/>
    <w:rsid w:val="007168B2"/>
    <w:rsid w:val="00717184"/>
    <w:rsid w:val="00717F3E"/>
    <w:rsid w:val="007206AD"/>
    <w:rsid w:val="00721391"/>
    <w:rsid w:val="00721637"/>
    <w:rsid w:val="00724A7A"/>
    <w:rsid w:val="00724B47"/>
    <w:rsid w:val="00726472"/>
    <w:rsid w:val="0072743E"/>
    <w:rsid w:val="007278D9"/>
    <w:rsid w:val="0073008E"/>
    <w:rsid w:val="0073033E"/>
    <w:rsid w:val="00730376"/>
    <w:rsid w:val="0073067D"/>
    <w:rsid w:val="00732292"/>
    <w:rsid w:val="0073249C"/>
    <w:rsid w:val="0073294F"/>
    <w:rsid w:val="00732AAC"/>
    <w:rsid w:val="007331FF"/>
    <w:rsid w:val="007338A0"/>
    <w:rsid w:val="00736535"/>
    <w:rsid w:val="007366CD"/>
    <w:rsid w:val="007369B8"/>
    <w:rsid w:val="00737801"/>
    <w:rsid w:val="007408FE"/>
    <w:rsid w:val="00740933"/>
    <w:rsid w:val="00742486"/>
    <w:rsid w:val="00743951"/>
    <w:rsid w:val="00744047"/>
    <w:rsid w:val="007455F1"/>
    <w:rsid w:val="007457A7"/>
    <w:rsid w:val="00747D28"/>
    <w:rsid w:val="007501BA"/>
    <w:rsid w:val="00750DAE"/>
    <w:rsid w:val="00751325"/>
    <w:rsid w:val="0075168C"/>
    <w:rsid w:val="007525E7"/>
    <w:rsid w:val="007547B4"/>
    <w:rsid w:val="00755425"/>
    <w:rsid w:val="00755ECB"/>
    <w:rsid w:val="00756025"/>
    <w:rsid w:val="007565E6"/>
    <w:rsid w:val="00757423"/>
    <w:rsid w:val="00757540"/>
    <w:rsid w:val="007575DB"/>
    <w:rsid w:val="00761151"/>
    <w:rsid w:val="00762CB4"/>
    <w:rsid w:val="00764304"/>
    <w:rsid w:val="007646BE"/>
    <w:rsid w:val="007648D9"/>
    <w:rsid w:val="0076579D"/>
    <w:rsid w:val="00766AEC"/>
    <w:rsid w:val="007672D7"/>
    <w:rsid w:val="0076733F"/>
    <w:rsid w:val="007704F3"/>
    <w:rsid w:val="0077068E"/>
    <w:rsid w:val="007712C3"/>
    <w:rsid w:val="00771E9E"/>
    <w:rsid w:val="0077306F"/>
    <w:rsid w:val="00773621"/>
    <w:rsid w:val="00773A3C"/>
    <w:rsid w:val="007741FA"/>
    <w:rsid w:val="007743D3"/>
    <w:rsid w:val="007744E8"/>
    <w:rsid w:val="00774524"/>
    <w:rsid w:val="007747FC"/>
    <w:rsid w:val="00774B4B"/>
    <w:rsid w:val="00774B9E"/>
    <w:rsid w:val="00774EF5"/>
    <w:rsid w:val="00775736"/>
    <w:rsid w:val="00775ED2"/>
    <w:rsid w:val="00776766"/>
    <w:rsid w:val="00776C40"/>
    <w:rsid w:val="00777D90"/>
    <w:rsid w:val="00777ED5"/>
    <w:rsid w:val="007800E7"/>
    <w:rsid w:val="00782242"/>
    <w:rsid w:val="00782797"/>
    <w:rsid w:val="00783246"/>
    <w:rsid w:val="007842B8"/>
    <w:rsid w:val="00784905"/>
    <w:rsid w:val="007856B8"/>
    <w:rsid w:val="00785719"/>
    <w:rsid w:val="00785770"/>
    <w:rsid w:val="00785C79"/>
    <w:rsid w:val="00786667"/>
    <w:rsid w:val="00787EDE"/>
    <w:rsid w:val="00790554"/>
    <w:rsid w:val="007920F4"/>
    <w:rsid w:val="00793100"/>
    <w:rsid w:val="00793875"/>
    <w:rsid w:val="0079404B"/>
    <w:rsid w:val="0079495E"/>
    <w:rsid w:val="00794C7D"/>
    <w:rsid w:val="00795362"/>
    <w:rsid w:val="00795723"/>
    <w:rsid w:val="00797352"/>
    <w:rsid w:val="007974EB"/>
    <w:rsid w:val="00797914"/>
    <w:rsid w:val="00797E81"/>
    <w:rsid w:val="007A084A"/>
    <w:rsid w:val="007A1AA6"/>
    <w:rsid w:val="007A2FC7"/>
    <w:rsid w:val="007A36E8"/>
    <w:rsid w:val="007A45AE"/>
    <w:rsid w:val="007A4893"/>
    <w:rsid w:val="007A4F5A"/>
    <w:rsid w:val="007A5A46"/>
    <w:rsid w:val="007A6979"/>
    <w:rsid w:val="007A75E3"/>
    <w:rsid w:val="007B0146"/>
    <w:rsid w:val="007B0290"/>
    <w:rsid w:val="007B123C"/>
    <w:rsid w:val="007B195E"/>
    <w:rsid w:val="007B19D6"/>
    <w:rsid w:val="007B1FDF"/>
    <w:rsid w:val="007B2130"/>
    <w:rsid w:val="007B2320"/>
    <w:rsid w:val="007B23D1"/>
    <w:rsid w:val="007B25FE"/>
    <w:rsid w:val="007B3E1B"/>
    <w:rsid w:val="007B3ED2"/>
    <w:rsid w:val="007B4931"/>
    <w:rsid w:val="007B5D03"/>
    <w:rsid w:val="007B5DF5"/>
    <w:rsid w:val="007B6EA0"/>
    <w:rsid w:val="007B7655"/>
    <w:rsid w:val="007B7962"/>
    <w:rsid w:val="007C01BE"/>
    <w:rsid w:val="007C0D56"/>
    <w:rsid w:val="007C1279"/>
    <w:rsid w:val="007C13C0"/>
    <w:rsid w:val="007C1D3D"/>
    <w:rsid w:val="007C28CF"/>
    <w:rsid w:val="007C33B4"/>
    <w:rsid w:val="007C39B3"/>
    <w:rsid w:val="007C3D68"/>
    <w:rsid w:val="007C57AA"/>
    <w:rsid w:val="007C72E5"/>
    <w:rsid w:val="007C7C78"/>
    <w:rsid w:val="007C7E83"/>
    <w:rsid w:val="007D0731"/>
    <w:rsid w:val="007D08B8"/>
    <w:rsid w:val="007D1D80"/>
    <w:rsid w:val="007D2843"/>
    <w:rsid w:val="007D2ABD"/>
    <w:rsid w:val="007D3C28"/>
    <w:rsid w:val="007D3F05"/>
    <w:rsid w:val="007D40B9"/>
    <w:rsid w:val="007D4133"/>
    <w:rsid w:val="007D44C5"/>
    <w:rsid w:val="007D5579"/>
    <w:rsid w:val="007D6426"/>
    <w:rsid w:val="007D7F06"/>
    <w:rsid w:val="007E107C"/>
    <w:rsid w:val="007E4334"/>
    <w:rsid w:val="007E45F5"/>
    <w:rsid w:val="007E46AA"/>
    <w:rsid w:val="007E4EF8"/>
    <w:rsid w:val="007E503D"/>
    <w:rsid w:val="007E5126"/>
    <w:rsid w:val="007E5678"/>
    <w:rsid w:val="007E5C44"/>
    <w:rsid w:val="007E61FC"/>
    <w:rsid w:val="007F09E6"/>
    <w:rsid w:val="007F107D"/>
    <w:rsid w:val="007F11BF"/>
    <w:rsid w:val="007F19CC"/>
    <w:rsid w:val="007F24C4"/>
    <w:rsid w:val="007F3B31"/>
    <w:rsid w:val="007F3EC8"/>
    <w:rsid w:val="007F4212"/>
    <w:rsid w:val="007F448C"/>
    <w:rsid w:val="007F4AA9"/>
    <w:rsid w:val="007F5D83"/>
    <w:rsid w:val="007F6D84"/>
    <w:rsid w:val="007F7B85"/>
    <w:rsid w:val="00800292"/>
    <w:rsid w:val="00800B9C"/>
    <w:rsid w:val="0080207D"/>
    <w:rsid w:val="008033CD"/>
    <w:rsid w:val="008033FC"/>
    <w:rsid w:val="0080369E"/>
    <w:rsid w:val="00807B3A"/>
    <w:rsid w:val="00807F10"/>
    <w:rsid w:val="00810080"/>
    <w:rsid w:val="0081104B"/>
    <w:rsid w:val="008111CB"/>
    <w:rsid w:val="008114D8"/>
    <w:rsid w:val="00811812"/>
    <w:rsid w:val="00811ECE"/>
    <w:rsid w:val="008122CA"/>
    <w:rsid w:val="0081420D"/>
    <w:rsid w:val="00814F61"/>
    <w:rsid w:val="00815F9E"/>
    <w:rsid w:val="008164FF"/>
    <w:rsid w:val="00817364"/>
    <w:rsid w:val="008200C2"/>
    <w:rsid w:val="00820190"/>
    <w:rsid w:val="0082028D"/>
    <w:rsid w:val="00820F0D"/>
    <w:rsid w:val="00820F19"/>
    <w:rsid w:val="0082133D"/>
    <w:rsid w:val="0082182E"/>
    <w:rsid w:val="00821D28"/>
    <w:rsid w:val="00822B49"/>
    <w:rsid w:val="00822E24"/>
    <w:rsid w:val="00822F2F"/>
    <w:rsid w:val="00823292"/>
    <w:rsid w:val="00823418"/>
    <w:rsid w:val="0082364A"/>
    <w:rsid w:val="00824794"/>
    <w:rsid w:val="00824CB3"/>
    <w:rsid w:val="00825024"/>
    <w:rsid w:val="0082508B"/>
    <w:rsid w:val="00826232"/>
    <w:rsid w:val="00826484"/>
    <w:rsid w:val="00830527"/>
    <w:rsid w:val="0083109D"/>
    <w:rsid w:val="0083188B"/>
    <w:rsid w:val="00831F6C"/>
    <w:rsid w:val="008321B4"/>
    <w:rsid w:val="00833502"/>
    <w:rsid w:val="00833525"/>
    <w:rsid w:val="00833D88"/>
    <w:rsid w:val="0083429D"/>
    <w:rsid w:val="00834468"/>
    <w:rsid w:val="00834FA2"/>
    <w:rsid w:val="008353AA"/>
    <w:rsid w:val="00835754"/>
    <w:rsid w:val="00835E62"/>
    <w:rsid w:val="008378CC"/>
    <w:rsid w:val="00840AF2"/>
    <w:rsid w:val="008421FD"/>
    <w:rsid w:val="00842313"/>
    <w:rsid w:val="0084407F"/>
    <w:rsid w:val="008440E0"/>
    <w:rsid w:val="008450B3"/>
    <w:rsid w:val="00846C18"/>
    <w:rsid w:val="00846C34"/>
    <w:rsid w:val="00847F64"/>
    <w:rsid w:val="00850116"/>
    <w:rsid w:val="00851BC5"/>
    <w:rsid w:val="00851EAF"/>
    <w:rsid w:val="008523AC"/>
    <w:rsid w:val="00854134"/>
    <w:rsid w:val="0085547D"/>
    <w:rsid w:val="00855517"/>
    <w:rsid w:val="0085735B"/>
    <w:rsid w:val="00857685"/>
    <w:rsid w:val="008627AE"/>
    <w:rsid w:val="0086318F"/>
    <w:rsid w:val="008631FA"/>
    <w:rsid w:val="008635CF"/>
    <w:rsid w:val="00863A8D"/>
    <w:rsid w:val="008645E1"/>
    <w:rsid w:val="008657C7"/>
    <w:rsid w:val="00866314"/>
    <w:rsid w:val="00866B84"/>
    <w:rsid w:val="00867631"/>
    <w:rsid w:val="008713B8"/>
    <w:rsid w:val="0087157A"/>
    <w:rsid w:val="008716FF"/>
    <w:rsid w:val="0087175B"/>
    <w:rsid w:val="008717EA"/>
    <w:rsid w:val="00871C98"/>
    <w:rsid w:val="0087240B"/>
    <w:rsid w:val="00873984"/>
    <w:rsid w:val="00874660"/>
    <w:rsid w:val="00875229"/>
    <w:rsid w:val="00876CC3"/>
    <w:rsid w:val="00877163"/>
    <w:rsid w:val="00877ECB"/>
    <w:rsid w:val="00880324"/>
    <w:rsid w:val="008806A1"/>
    <w:rsid w:val="00880C62"/>
    <w:rsid w:val="00881121"/>
    <w:rsid w:val="008811C1"/>
    <w:rsid w:val="00883102"/>
    <w:rsid w:val="008840AD"/>
    <w:rsid w:val="00884111"/>
    <w:rsid w:val="00884BFF"/>
    <w:rsid w:val="00884E82"/>
    <w:rsid w:val="00885845"/>
    <w:rsid w:val="00885C0D"/>
    <w:rsid w:val="00885F6B"/>
    <w:rsid w:val="00887334"/>
    <w:rsid w:val="00891600"/>
    <w:rsid w:val="00892E4D"/>
    <w:rsid w:val="00893BC6"/>
    <w:rsid w:val="00893C8F"/>
    <w:rsid w:val="00893C9F"/>
    <w:rsid w:val="00894214"/>
    <w:rsid w:val="00894C1B"/>
    <w:rsid w:val="008966B3"/>
    <w:rsid w:val="008972F4"/>
    <w:rsid w:val="008973D4"/>
    <w:rsid w:val="008979BD"/>
    <w:rsid w:val="008A052F"/>
    <w:rsid w:val="008A0566"/>
    <w:rsid w:val="008A0A41"/>
    <w:rsid w:val="008A2A79"/>
    <w:rsid w:val="008A3F78"/>
    <w:rsid w:val="008A4198"/>
    <w:rsid w:val="008A5D2E"/>
    <w:rsid w:val="008A610C"/>
    <w:rsid w:val="008A6496"/>
    <w:rsid w:val="008A64CD"/>
    <w:rsid w:val="008A7996"/>
    <w:rsid w:val="008A7A88"/>
    <w:rsid w:val="008A7DFD"/>
    <w:rsid w:val="008B00C9"/>
    <w:rsid w:val="008B0D3B"/>
    <w:rsid w:val="008B14AF"/>
    <w:rsid w:val="008B177B"/>
    <w:rsid w:val="008B1EFF"/>
    <w:rsid w:val="008B1F7D"/>
    <w:rsid w:val="008B2146"/>
    <w:rsid w:val="008B335A"/>
    <w:rsid w:val="008B43EE"/>
    <w:rsid w:val="008B4AC8"/>
    <w:rsid w:val="008B5426"/>
    <w:rsid w:val="008B62ED"/>
    <w:rsid w:val="008C093F"/>
    <w:rsid w:val="008C0B18"/>
    <w:rsid w:val="008C1374"/>
    <w:rsid w:val="008C17A7"/>
    <w:rsid w:val="008C240F"/>
    <w:rsid w:val="008C2A4A"/>
    <w:rsid w:val="008C3110"/>
    <w:rsid w:val="008C36F1"/>
    <w:rsid w:val="008C3934"/>
    <w:rsid w:val="008C4262"/>
    <w:rsid w:val="008C4E9D"/>
    <w:rsid w:val="008C51AA"/>
    <w:rsid w:val="008C7631"/>
    <w:rsid w:val="008D05D5"/>
    <w:rsid w:val="008D07D7"/>
    <w:rsid w:val="008D1878"/>
    <w:rsid w:val="008D3148"/>
    <w:rsid w:val="008D31AE"/>
    <w:rsid w:val="008D44AC"/>
    <w:rsid w:val="008D508A"/>
    <w:rsid w:val="008D547D"/>
    <w:rsid w:val="008D6ECD"/>
    <w:rsid w:val="008D70E5"/>
    <w:rsid w:val="008D7474"/>
    <w:rsid w:val="008D76B2"/>
    <w:rsid w:val="008E032E"/>
    <w:rsid w:val="008E07A0"/>
    <w:rsid w:val="008E1C7F"/>
    <w:rsid w:val="008E2732"/>
    <w:rsid w:val="008E279B"/>
    <w:rsid w:val="008E4BBC"/>
    <w:rsid w:val="008E4E9C"/>
    <w:rsid w:val="008E5949"/>
    <w:rsid w:val="008E5958"/>
    <w:rsid w:val="008E5BA6"/>
    <w:rsid w:val="008E66D6"/>
    <w:rsid w:val="008E6F84"/>
    <w:rsid w:val="008E6FBE"/>
    <w:rsid w:val="008E7131"/>
    <w:rsid w:val="008F0340"/>
    <w:rsid w:val="008F03EB"/>
    <w:rsid w:val="008F08AA"/>
    <w:rsid w:val="008F0D6D"/>
    <w:rsid w:val="008F1905"/>
    <w:rsid w:val="008F2D03"/>
    <w:rsid w:val="008F2D51"/>
    <w:rsid w:val="008F3809"/>
    <w:rsid w:val="008F4E72"/>
    <w:rsid w:val="008F6351"/>
    <w:rsid w:val="008F6545"/>
    <w:rsid w:val="008F6CF8"/>
    <w:rsid w:val="008F6D7A"/>
    <w:rsid w:val="00901D55"/>
    <w:rsid w:val="009032E9"/>
    <w:rsid w:val="00903412"/>
    <w:rsid w:val="009051FE"/>
    <w:rsid w:val="00906409"/>
    <w:rsid w:val="00906ED0"/>
    <w:rsid w:val="00907A6B"/>
    <w:rsid w:val="0091004B"/>
    <w:rsid w:val="0091056B"/>
    <w:rsid w:val="00910DE4"/>
    <w:rsid w:val="00911755"/>
    <w:rsid w:val="009118AF"/>
    <w:rsid w:val="009119ED"/>
    <w:rsid w:val="00911D32"/>
    <w:rsid w:val="00912E09"/>
    <w:rsid w:val="0091386C"/>
    <w:rsid w:val="00913CB9"/>
    <w:rsid w:val="00914A4B"/>
    <w:rsid w:val="00914C79"/>
    <w:rsid w:val="00916918"/>
    <w:rsid w:val="00916C1D"/>
    <w:rsid w:val="00916DB4"/>
    <w:rsid w:val="00917492"/>
    <w:rsid w:val="009176B9"/>
    <w:rsid w:val="00917952"/>
    <w:rsid w:val="009209F0"/>
    <w:rsid w:val="00920A73"/>
    <w:rsid w:val="009210C2"/>
    <w:rsid w:val="0092148C"/>
    <w:rsid w:val="00922FE2"/>
    <w:rsid w:val="0092301C"/>
    <w:rsid w:val="00924587"/>
    <w:rsid w:val="00925B30"/>
    <w:rsid w:val="00926F7F"/>
    <w:rsid w:val="00927C38"/>
    <w:rsid w:val="009341CB"/>
    <w:rsid w:val="009346F6"/>
    <w:rsid w:val="00935A53"/>
    <w:rsid w:val="009365EF"/>
    <w:rsid w:val="00937753"/>
    <w:rsid w:val="009424DF"/>
    <w:rsid w:val="009430BD"/>
    <w:rsid w:val="009445DA"/>
    <w:rsid w:val="009464EB"/>
    <w:rsid w:val="00952ABC"/>
    <w:rsid w:val="00952B66"/>
    <w:rsid w:val="00953CB0"/>
    <w:rsid w:val="00954375"/>
    <w:rsid w:val="00954DD4"/>
    <w:rsid w:val="009555CF"/>
    <w:rsid w:val="00955643"/>
    <w:rsid w:val="009564D7"/>
    <w:rsid w:val="00956E52"/>
    <w:rsid w:val="009570AC"/>
    <w:rsid w:val="00957F12"/>
    <w:rsid w:val="00960148"/>
    <w:rsid w:val="00960DD0"/>
    <w:rsid w:val="00961921"/>
    <w:rsid w:val="00962CB9"/>
    <w:rsid w:val="00963974"/>
    <w:rsid w:val="009642AC"/>
    <w:rsid w:val="00964481"/>
    <w:rsid w:val="00964954"/>
    <w:rsid w:val="00965A5E"/>
    <w:rsid w:val="00965CED"/>
    <w:rsid w:val="009663A3"/>
    <w:rsid w:val="00966D4F"/>
    <w:rsid w:val="009739B2"/>
    <w:rsid w:val="00973F01"/>
    <w:rsid w:val="00974404"/>
    <w:rsid w:val="00975877"/>
    <w:rsid w:val="0097594E"/>
    <w:rsid w:val="00976C10"/>
    <w:rsid w:val="0097728F"/>
    <w:rsid w:val="00977537"/>
    <w:rsid w:val="009776D0"/>
    <w:rsid w:val="00977E2A"/>
    <w:rsid w:val="00980927"/>
    <w:rsid w:val="009814F4"/>
    <w:rsid w:val="00982335"/>
    <w:rsid w:val="0098238A"/>
    <w:rsid w:val="009838BE"/>
    <w:rsid w:val="00985975"/>
    <w:rsid w:val="009871EE"/>
    <w:rsid w:val="0098736A"/>
    <w:rsid w:val="00987398"/>
    <w:rsid w:val="009873A4"/>
    <w:rsid w:val="00987AF2"/>
    <w:rsid w:val="00990B37"/>
    <w:rsid w:val="009934ED"/>
    <w:rsid w:val="00993B3A"/>
    <w:rsid w:val="00993B5B"/>
    <w:rsid w:val="009948E6"/>
    <w:rsid w:val="009953E6"/>
    <w:rsid w:val="00995B15"/>
    <w:rsid w:val="00996575"/>
    <w:rsid w:val="00996A53"/>
    <w:rsid w:val="00996F04"/>
    <w:rsid w:val="009972F5"/>
    <w:rsid w:val="009977E1"/>
    <w:rsid w:val="00997EDF"/>
    <w:rsid w:val="009A12F9"/>
    <w:rsid w:val="009A160E"/>
    <w:rsid w:val="009A197E"/>
    <w:rsid w:val="009A2EF8"/>
    <w:rsid w:val="009A39C5"/>
    <w:rsid w:val="009A534D"/>
    <w:rsid w:val="009A569F"/>
    <w:rsid w:val="009A5B70"/>
    <w:rsid w:val="009A6FC1"/>
    <w:rsid w:val="009B029F"/>
    <w:rsid w:val="009B27E1"/>
    <w:rsid w:val="009B29D0"/>
    <w:rsid w:val="009B3312"/>
    <w:rsid w:val="009B416F"/>
    <w:rsid w:val="009B4C72"/>
    <w:rsid w:val="009B523B"/>
    <w:rsid w:val="009B59D3"/>
    <w:rsid w:val="009B5AD2"/>
    <w:rsid w:val="009B6166"/>
    <w:rsid w:val="009B656C"/>
    <w:rsid w:val="009B7151"/>
    <w:rsid w:val="009C0391"/>
    <w:rsid w:val="009C0A83"/>
    <w:rsid w:val="009C0C21"/>
    <w:rsid w:val="009C1A53"/>
    <w:rsid w:val="009C34A0"/>
    <w:rsid w:val="009C518E"/>
    <w:rsid w:val="009C666A"/>
    <w:rsid w:val="009C6D81"/>
    <w:rsid w:val="009C7382"/>
    <w:rsid w:val="009D0948"/>
    <w:rsid w:val="009D1328"/>
    <w:rsid w:val="009D1BE5"/>
    <w:rsid w:val="009D248A"/>
    <w:rsid w:val="009D48FB"/>
    <w:rsid w:val="009D5335"/>
    <w:rsid w:val="009D6267"/>
    <w:rsid w:val="009D6AD7"/>
    <w:rsid w:val="009D7D77"/>
    <w:rsid w:val="009E126F"/>
    <w:rsid w:val="009E2C62"/>
    <w:rsid w:val="009E2FD7"/>
    <w:rsid w:val="009E3817"/>
    <w:rsid w:val="009E42E1"/>
    <w:rsid w:val="009E4401"/>
    <w:rsid w:val="009E498C"/>
    <w:rsid w:val="009E4E9F"/>
    <w:rsid w:val="009E521D"/>
    <w:rsid w:val="009E72C1"/>
    <w:rsid w:val="009E7732"/>
    <w:rsid w:val="009E7C7C"/>
    <w:rsid w:val="009F021C"/>
    <w:rsid w:val="009F0658"/>
    <w:rsid w:val="009F0FE6"/>
    <w:rsid w:val="009F14B1"/>
    <w:rsid w:val="009F1834"/>
    <w:rsid w:val="009F183C"/>
    <w:rsid w:val="009F1E0E"/>
    <w:rsid w:val="009F2DE2"/>
    <w:rsid w:val="009F33C1"/>
    <w:rsid w:val="009F34B5"/>
    <w:rsid w:val="009F3832"/>
    <w:rsid w:val="009F3D50"/>
    <w:rsid w:val="009F40BD"/>
    <w:rsid w:val="009F4ACA"/>
    <w:rsid w:val="009F6989"/>
    <w:rsid w:val="009F7DF5"/>
    <w:rsid w:val="00A018A9"/>
    <w:rsid w:val="00A01AB7"/>
    <w:rsid w:val="00A024C7"/>
    <w:rsid w:val="00A02EAE"/>
    <w:rsid w:val="00A03442"/>
    <w:rsid w:val="00A040D4"/>
    <w:rsid w:val="00A05759"/>
    <w:rsid w:val="00A05BC1"/>
    <w:rsid w:val="00A0688C"/>
    <w:rsid w:val="00A06EAD"/>
    <w:rsid w:val="00A07786"/>
    <w:rsid w:val="00A07EA4"/>
    <w:rsid w:val="00A11ACA"/>
    <w:rsid w:val="00A128E9"/>
    <w:rsid w:val="00A12E2F"/>
    <w:rsid w:val="00A12EE6"/>
    <w:rsid w:val="00A13BE4"/>
    <w:rsid w:val="00A1425F"/>
    <w:rsid w:val="00A144D5"/>
    <w:rsid w:val="00A14A09"/>
    <w:rsid w:val="00A14AE1"/>
    <w:rsid w:val="00A15939"/>
    <w:rsid w:val="00A16575"/>
    <w:rsid w:val="00A201D7"/>
    <w:rsid w:val="00A2160A"/>
    <w:rsid w:val="00A223B4"/>
    <w:rsid w:val="00A22974"/>
    <w:rsid w:val="00A2386C"/>
    <w:rsid w:val="00A248FF"/>
    <w:rsid w:val="00A256C9"/>
    <w:rsid w:val="00A25CA2"/>
    <w:rsid w:val="00A2662A"/>
    <w:rsid w:val="00A26ACE"/>
    <w:rsid w:val="00A26C1D"/>
    <w:rsid w:val="00A30B49"/>
    <w:rsid w:val="00A32668"/>
    <w:rsid w:val="00A334A6"/>
    <w:rsid w:val="00A34728"/>
    <w:rsid w:val="00A34765"/>
    <w:rsid w:val="00A36D23"/>
    <w:rsid w:val="00A37579"/>
    <w:rsid w:val="00A37EFB"/>
    <w:rsid w:val="00A408E4"/>
    <w:rsid w:val="00A412F8"/>
    <w:rsid w:val="00A41B03"/>
    <w:rsid w:val="00A443C6"/>
    <w:rsid w:val="00A451CD"/>
    <w:rsid w:val="00A45DE9"/>
    <w:rsid w:val="00A46439"/>
    <w:rsid w:val="00A465D6"/>
    <w:rsid w:val="00A5073E"/>
    <w:rsid w:val="00A524B9"/>
    <w:rsid w:val="00A535AE"/>
    <w:rsid w:val="00A53F64"/>
    <w:rsid w:val="00A5420C"/>
    <w:rsid w:val="00A55067"/>
    <w:rsid w:val="00A5510C"/>
    <w:rsid w:val="00A56005"/>
    <w:rsid w:val="00A573B8"/>
    <w:rsid w:val="00A5766B"/>
    <w:rsid w:val="00A576E0"/>
    <w:rsid w:val="00A57A9F"/>
    <w:rsid w:val="00A60213"/>
    <w:rsid w:val="00A60886"/>
    <w:rsid w:val="00A608CC"/>
    <w:rsid w:val="00A60FDE"/>
    <w:rsid w:val="00A6124B"/>
    <w:rsid w:val="00A627DF"/>
    <w:rsid w:val="00A62A25"/>
    <w:rsid w:val="00A62A92"/>
    <w:rsid w:val="00A63A65"/>
    <w:rsid w:val="00A64DEB"/>
    <w:rsid w:val="00A655F2"/>
    <w:rsid w:val="00A6669A"/>
    <w:rsid w:val="00A666CC"/>
    <w:rsid w:val="00A6671A"/>
    <w:rsid w:val="00A667FF"/>
    <w:rsid w:val="00A669D9"/>
    <w:rsid w:val="00A676A0"/>
    <w:rsid w:val="00A714D8"/>
    <w:rsid w:val="00A73D9B"/>
    <w:rsid w:val="00A759AB"/>
    <w:rsid w:val="00A766C2"/>
    <w:rsid w:val="00A76C09"/>
    <w:rsid w:val="00A770BF"/>
    <w:rsid w:val="00A77514"/>
    <w:rsid w:val="00A81CCD"/>
    <w:rsid w:val="00A84498"/>
    <w:rsid w:val="00A85029"/>
    <w:rsid w:val="00A85252"/>
    <w:rsid w:val="00A8563E"/>
    <w:rsid w:val="00A86D48"/>
    <w:rsid w:val="00A87109"/>
    <w:rsid w:val="00A9075A"/>
    <w:rsid w:val="00A907B1"/>
    <w:rsid w:val="00A91991"/>
    <w:rsid w:val="00A93055"/>
    <w:rsid w:val="00A9319F"/>
    <w:rsid w:val="00A93922"/>
    <w:rsid w:val="00A95FAC"/>
    <w:rsid w:val="00A96012"/>
    <w:rsid w:val="00A96ED5"/>
    <w:rsid w:val="00A976F0"/>
    <w:rsid w:val="00AA0A3F"/>
    <w:rsid w:val="00AA12E2"/>
    <w:rsid w:val="00AA131B"/>
    <w:rsid w:val="00AA184C"/>
    <w:rsid w:val="00AA2135"/>
    <w:rsid w:val="00AA28CE"/>
    <w:rsid w:val="00AA2E16"/>
    <w:rsid w:val="00AA356E"/>
    <w:rsid w:val="00AA381E"/>
    <w:rsid w:val="00AA4209"/>
    <w:rsid w:val="00AA4D56"/>
    <w:rsid w:val="00AA6F6D"/>
    <w:rsid w:val="00AA743A"/>
    <w:rsid w:val="00AA7662"/>
    <w:rsid w:val="00AB0C60"/>
    <w:rsid w:val="00AB0CF6"/>
    <w:rsid w:val="00AB1842"/>
    <w:rsid w:val="00AB229B"/>
    <w:rsid w:val="00AB284A"/>
    <w:rsid w:val="00AB2D1C"/>
    <w:rsid w:val="00AB355B"/>
    <w:rsid w:val="00AB40B2"/>
    <w:rsid w:val="00AB411A"/>
    <w:rsid w:val="00AB4F04"/>
    <w:rsid w:val="00AB4F35"/>
    <w:rsid w:val="00AB53F7"/>
    <w:rsid w:val="00AB5E71"/>
    <w:rsid w:val="00AB78BD"/>
    <w:rsid w:val="00AC00CB"/>
    <w:rsid w:val="00AC0D06"/>
    <w:rsid w:val="00AC1F0B"/>
    <w:rsid w:val="00AC27E9"/>
    <w:rsid w:val="00AC4CB4"/>
    <w:rsid w:val="00AC502A"/>
    <w:rsid w:val="00AC676E"/>
    <w:rsid w:val="00AC69D9"/>
    <w:rsid w:val="00AC6A60"/>
    <w:rsid w:val="00AC772B"/>
    <w:rsid w:val="00AD0087"/>
    <w:rsid w:val="00AD0178"/>
    <w:rsid w:val="00AD0C85"/>
    <w:rsid w:val="00AD14F6"/>
    <w:rsid w:val="00AD154C"/>
    <w:rsid w:val="00AD158A"/>
    <w:rsid w:val="00AD2785"/>
    <w:rsid w:val="00AD28AC"/>
    <w:rsid w:val="00AD4C61"/>
    <w:rsid w:val="00AD4F22"/>
    <w:rsid w:val="00AD630F"/>
    <w:rsid w:val="00AD6B9A"/>
    <w:rsid w:val="00AD6DEA"/>
    <w:rsid w:val="00AD7274"/>
    <w:rsid w:val="00AD7FFA"/>
    <w:rsid w:val="00AE077B"/>
    <w:rsid w:val="00AE1715"/>
    <w:rsid w:val="00AE1A6E"/>
    <w:rsid w:val="00AE3355"/>
    <w:rsid w:val="00AE34F2"/>
    <w:rsid w:val="00AE418E"/>
    <w:rsid w:val="00AE4D90"/>
    <w:rsid w:val="00AE4DA7"/>
    <w:rsid w:val="00AE5EC7"/>
    <w:rsid w:val="00AE6888"/>
    <w:rsid w:val="00AF0D59"/>
    <w:rsid w:val="00AF3864"/>
    <w:rsid w:val="00AF39CA"/>
    <w:rsid w:val="00AF4254"/>
    <w:rsid w:val="00AF59A6"/>
    <w:rsid w:val="00AF5A84"/>
    <w:rsid w:val="00AF5AB1"/>
    <w:rsid w:val="00AF5C26"/>
    <w:rsid w:val="00AF5E74"/>
    <w:rsid w:val="00AF71B5"/>
    <w:rsid w:val="00B00883"/>
    <w:rsid w:val="00B0169E"/>
    <w:rsid w:val="00B03595"/>
    <w:rsid w:val="00B0508B"/>
    <w:rsid w:val="00B05E9C"/>
    <w:rsid w:val="00B06305"/>
    <w:rsid w:val="00B07A79"/>
    <w:rsid w:val="00B10184"/>
    <w:rsid w:val="00B108BD"/>
    <w:rsid w:val="00B114EE"/>
    <w:rsid w:val="00B118E0"/>
    <w:rsid w:val="00B12CDE"/>
    <w:rsid w:val="00B14C13"/>
    <w:rsid w:val="00B14D8E"/>
    <w:rsid w:val="00B20B62"/>
    <w:rsid w:val="00B22E55"/>
    <w:rsid w:val="00B25268"/>
    <w:rsid w:val="00B303EA"/>
    <w:rsid w:val="00B31BEC"/>
    <w:rsid w:val="00B3213A"/>
    <w:rsid w:val="00B32B6A"/>
    <w:rsid w:val="00B3387B"/>
    <w:rsid w:val="00B3521D"/>
    <w:rsid w:val="00B359D5"/>
    <w:rsid w:val="00B40B29"/>
    <w:rsid w:val="00B413AB"/>
    <w:rsid w:val="00B419F5"/>
    <w:rsid w:val="00B422EF"/>
    <w:rsid w:val="00B43402"/>
    <w:rsid w:val="00B44836"/>
    <w:rsid w:val="00B44CCD"/>
    <w:rsid w:val="00B4563C"/>
    <w:rsid w:val="00B45CED"/>
    <w:rsid w:val="00B45DA2"/>
    <w:rsid w:val="00B46E2F"/>
    <w:rsid w:val="00B471AD"/>
    <w:rsid w:val="00B474B4"/>
    <w:rsid w:val="00B517F9"/>
    <w:rsid w:val="00B51B02"/>
    <w:rsid w:val="00B5265C"/>
    <w:rsid w:val="00B5271B"/>
    <w:rsid w:val="00B53324"/>
    <w:rsid w:val="00B57A3B"/>
    <w:rsid w:val="00B6005A"/>
    <w:rsid w:val="00B6088F"/>
    <w:rsid w:val="00B62351"/>
    <w:rsid w:val="00B6280E"/>
    <w:rsid w:val="00B62E11"/>
    <w:rsid w:val="00B631C3"/>
    <w:rsid w:val="00B639B1"/>
    <w:rsid w:val="00B640F1"/>
    <w:rsid w:val="00B64C74"/>
    <w:rsid w:val="00B64DEC"/>
    <w:rsid w:val="00B65BBA"/>
    <w:rsid w:val="00B66A60"/>
    <w:rsid w:val="00B67818"/>
    <w:rsid w:val="00B6782B"/>
    <w:rsid w:val="00B678A9"/>
    <w:rsid w:val="00B70098"/>
    <w:rsid w:val="00B7102A"/>
    <w:rsid w:val="00B712D1"/>
    <w:rsid w:val="00B71714"/>
    <w:rsid w:val="00B7220A"/>
    <w:rsid w:val="00B7291B"/>
    <w:rsid w:val="00B73CE2"/>
    <w:rsid w:val="00B73E28"/>
    <w:rsid w:val="00B74133"/>
    <w:rsid w:val="00B74FAF"/>
    <w:rsid w:val="00B76172"/>
    <w:rsid w:val="00B76452"/>
    <w:rsid w:val="00B766CA"/>
    <w:rsid w:val="00B775CA"/>
    <w:rsid w:val="00B806B3"/>
    <w:rsid w:val="00B82456"/>
    <w:rsid w:val="00B82A7F"/>
    <w:rsid w:val="00B82B20"/>
    <w:rsid w:val="00B82E7C"/>
    <w:rsid w:val="00B84F31"/>
    <w:rsid w:val="00B850DA"/>
    <w:rsid w:val="00B86911"/>
    <w:rsid w:val="00B86FDF"/>
    <w:rsid w:val="00B8778A"/>
    <w:rsid w:val="00B87A2F"/>
    <w:rsid w:val="00B87C3D"/>
    <w:rsid w:val="00B90001"/>
    <w:rsid w:val="00B905D2"/>
    <w:rsid w:val="00B91997"/>
    <w:rsid w:val="00B92447"/>
    <w:rsid w:val="00B9244C"/>
    <w:rsid w:val="00B9362B"/>
    <w:rsid w:val="00B93804"/>
    <w:rsid w:val="00B953E2"/>
    <w:rsid w:val="00B96DF7"/>
    <w:rsid w:val="00B97255"/>
    <w:rsid w:val="00B97801"/>
    <w:rsid w:val="00BA231F"/>
    <w:rsid w:val="00BA34B3"/>
    <w:rsid w:val="00BA3A45"/>
    <w:rsid w:val="00BA4ADB"/>
    <w:rsid w:val="00BA4F07"/>
    <w:rsid w:val="00BA5E8D"/>
    <w:rsid w:val="00BA5F3D"/>
    <w:rsid w:val="00BA6B96"/>
    <w:rsid w:val="00BB150D"/>
    <w:rsid w:val="00BB1BC7"/>
    <w:rsid w:val="00BB235E"/>
    <w:rsid w:val="00BB2366"/>
    <w:rsid w:val="00BB2665"/>
    <w:rsid w:val="00BB3CE7"/>
    <w:rsid w:val="00BB40BA"/>
    <w:rsid w:val="00BB6FCC"/>
    <w:rsid w:val="00BB7469"/>
    <w:rsid w:val="00BC034E"/>
    <w:rsid w:val="00BC0A6B"/>
    <w:rsid w:val="00BC0AAD"/>
    <w:rsid w:val="00BC2F2B"/>
    <w:rsid w:val="00BC4931"/>
    <w:rsid w:val="00BC57E8"/>
    <w:rsid w:val="00BC5A18"/>
    <w:rsid w:val="00BC7328"/>
    <w:rsid w:val="00BC7F1B"/>
    <w:rsid w:val="00BD13A9"/>
    <w:rsid w:val="00BD147F"/>
    <w:rsid w:val="00BD1E75"/>
    <w:rsid w:val="00BD2FC8"/>
    <w:rsid w:val="00BD33DA"/>
    <w:rsid w:val="00BD340E"/>
    <w:rsid w:val="00BD3430"/>
    <w:rsid w:val="00BD3692"/>
    <w:rsid w:val="00BD3D08"/>
    <w:rsid w:val="00BD3DCC"/>
    <w:rsid w:val="00BD5B13"/>
    <w:rsid w:val="00BD5E8D"/>
    <w:rsid w:val="00BE3A97"/>
    <w:rsid w:val="00BE3BC6"/>
    <w:rsid w:val="00BE3C10"/>
    <w:rsid w:val="00BE498D"/>
    <w:rsid w:val="00BE4C30"/>
    <w:rsid w:val="00BE4E64"/>
    <w:rsid w:val="00BE587C"/>
    <w:rsid w:val="00BE5F1C"/>
    <w:rsid w:val="00BE6357"/>
    <w:rsid w:val="00BE6742"/>
    <w:rsid w:val="00BE7437"/>
    <w:rsid w:val="00BE7B18"/>
    <w:rsid w:val="00BF04AB"/>
    <w:rsid w:val="00BF0C10"/>
    <w:rsid w:val="00BF0ED4"/>
    <w:rsid w:val="00BF2AA8"/>
    <w:rsid w:val="00BF39AF"/>
    <w:rsid w:val="00BF439B"/>
    <w:rsid w:val="00BF461B"/>
    <w:rsid w:val="00BF6613"/>
    <w:rsid w:val="00BF6933"/>
    <w:rsid w:val="00BF72F8"/>
    <w:rsid w:val="00BF75E9"/>
    <w:rsid w:val="00BF7CEB"/>
    <w:rsid w:val="00BF7E01"/>
    <w:rsid w:val="00C015B6"/>
    <w:rsid w:val="00C01670"/>
    <w:rsid w:val="00C01ADE"/>
    <w:rsid w:val="00C03169"/>
    <w:rsid w:val="00C0369E"/>
    <w:rsid w:val="00C04C23"/>
    <w:rsid w:val="00C05252"/>
    <w:rsid w:val="00C0585E"/>
    <w:rsid w:val="00C05D00"/>
    <w:rsid w:val="00C05E9E"/>
    <w:rsid w:val="00C05F99"/>
    <w:rsid w:val="00C06B0F"/>
    <w:rsid w:val="00C0710C"/>
    <w:rsid w:val="00C07414"/>
    <w:rsid w:val="00C07C92"/>
    <w:rsid w:val="00C102B5"/>
    <w:rsid w:val="00C10339"/>
    <w:rsid w:val="00C1098A"/>
    <w:rsid w:val="00C10F7C"/>
    <w:rsid w:val="00C111AA"/>
    <w:rsid w:val="00C1161D"/>
    <w:rsid w:val="00C12624"/>
    <w:rsid w:val="00C1345A"/>
    <w:rsid w:val="00C14468"/>
    <w:rsid w:val="00C1549A"/>
    <w:rsid w:val="00C16AF9"/>
    <w:rsid w:val="00C16D45"/>
    <w:rsid w:val="00C16DFE"/>
    <w:rsid w:val="00C16F12"/>
    <w:rsid w:val="00C1791D"/>
    <w:rsid w:val="00C20173"/>
    <w:rsid w:val="00C2075B"/>
    <w:rsid w:val="00C2117F"/>
    <w:rsid w:val="00C216D2"/>
    <w:rsid w:val="00C219AC"/>
    <w:rsid w:val="00C21E21"/>
    <w:rsid w:val="00C224B1"/>
    <w:rsid w:val="00C2429E"/>
    <w:rsid w:val="00C24BEA"/>
    <w:rsid w:val="00C253BD"/>
    <w:rsid w:val="00C25A19"/>
    <w:rsid w:val="00C262A3"/>
    <w:rsid w:val="00C26721"/>
    <w:rsid w:val="00C30205"/>
    <w:rsid w:val="00C31501"/>
    <w:rsid w:val="00C32DF5"/>
    <w:rsid w:val="00C32FA8"/>
    <w:rsid w:val="00C33CCB"/>
    <w:rsid w:val="00C33E46"/>
    <w:rsid w:val="00C34294"/>
    <w:rsid w:val="00C35358"/>
    <w:rsid w:val="00C369EE"/>
    <w:rsid w:val="00C36C0D"/>
    <w:rsid w:val="00C375D4"/>
    <w:rsid w:val="00C37604"/>
    <w:rsid w:val="00C40A93"/>
    <w:rsid w:val="00C414F9"/>
    <w:rsid w:val="00C428D2"/>
    <w:rsid w:val="00C459B5"/>
    <w:rsid w:val="00C46279"/>
    <w:rsid w:val="00C46798"/>
    <w:rsid w:val="00C469E1"/>
    <w:rsid w:val="00C4787C"/>
    <w:rsid w:val="00C479C0"/>
    <w:rsid w:val="00C5004C"/>
    <w:rsid w:val="00C50EEF"/>
    <w:rsid w:val="00C51B58"/>
    <w:rsid w:val="00C5212C"/>
    <w:rsid w:val="00C53980"/>
    <w:rsid w:val="00C53AE7"/>
    <w:rsid w:val="00C557A2"/>
    <w:rsid w:val="00C55A18"/>
    <w:rsid w:val="00C56469"/>
    <w:rsid w:val="00C5675D"/>
    <w:rsid w:val="00C56797"/>
    <w:rsid w:val="00C5759E"/>
    <w:rsid w:val="00C612AF"/>
    <w:rsid w:val="00C615DE"/>
    <w:rsid w:val="00C61C67"/>
    <w:rsid w:val="00C62486"/>
    <w:rsid w:val="00C6440B"/>
    <w:rsid w:val="00C65966"/>
    <w:rsid w:val="00C67D5A"/>
    <w:rsid w:val="00C7043B"/>
    <w:rsid w:val="00C70C44"/>
    <w:rsid w:val="00C7105E"/>
    <w:rsid w:val="00C721EA"/>
    <w:rsid w:val="00C73B18"/>
    <w:rsid w:val="00C76829"/>
    <w:rsid w:val="00C7761C"/>
    <w:rsid w:val="00C77AD0"/>
    <w:rsid w:val="00C77B61"/>
    <w:rsid w:val="00C803CC"/>
    <w:rsid w:val="00C81216"/>
    <w:rsid w:val="00C8136E"/>
    <w:rsid w:val="00C820AA"/>
    <w:rsid w:val="00C8265B"/>
    <w:rsid w:val="00C84DF1"/>
    <w:rsid w:val="00C859FF"/>
    <w:rsid w:val="00C85B02"/>
    <w:rsid w:val="00C8614C"/>
    <w:rsid w:val="00C861DD"/>
    <w:rsid w:val="00C86278"/>
    <w:rsid w:val="00C86F33"/>
    <w:rsid w:val="00C87CB6"/>
    <w:rsid w:val="00C87DF9"/>
    <w:rsid w:val="00C900D6"/>
    <w:rsid w:val="00C91862"/>
    <w:rsid w:val="00C91E9E"/>
    <w:rsid w:val="00C9201C"/>
    <w:rsid w:val="00C93DAC"/>
    <w:rsid w:val="00C9457D"/>
    <w:rsid w:val="00C951C0"/>
    <w:rsid w:val="00C95276"/>
    <w:rsid w:val="00C9562C"/>
    <w:rsid w:val="00C95BD2"/>
    <w:rsid w:val="00C96552"/>
    <w:rsid w:val="00C971AC"/>
    <w:rsid w:val="00C97218"/>
    <w:rsid w:val="00C977C0"/>
    <w:rsid w:val="00CA04DA"/>
    <w:rsid w:val="00CA07DC"/>
    <w:rsid w:val="00CA1755"/>
    <w:rsid w:val="00CA1DCD"/>
    <w:rsid w:val="00CA2583"/>
    <w:rsid w:val="00CA30D5"/>
    <w:rsid w:val="00CA384C"/>
    <w:rsid w:val="00CA3D68"/>
    <w:rsid w:val="00CA42CE"/>
    <w:rsid w:val="00CA4BC6"/>
    <w:rsid w:val="00CA6CC5"/>
    <w:rsid w:val="00CA6F2A"/>
    <w:rsid w:val="00CA77F5"/>
    <w:rsid w:val="00CB0BC9"/>
    <w:rsid w:val="00CB0C5D"/>
    <w:rsid w:val="00CB15F4"/>
    <w:rsid w:val="00CB168B"/>
    <w:rsid w:val="00CB18BA"/>
    <w:rsid w:val="00CB1E6D"/>
    <w:rsid w:val="00CB5614"/>
    <w:rsid w:val="00CB580A"/>
    <w:rsid w:val="00CB763F"/>
    <w:rsid w:val="00CB7BA3"/>
    <w:rsid w:val="00CC1B92"/>
    <w:rsid w:val="00CC1E07"/>
    <w:rsid w:val="00CC1F50"/>
    <w:rsid w:val="00CC2829"/>
    <w:rsid w:val="00CC4595"/>
    <w:rsid w:val="00CC5858"/>
    <w:rsid w:val="00CC5F42"/>
    <w:rsid w:val="00CC6548"/>
    <w:rsid w:val="00CC779F"/>
    <w:rsid w:val="00CD0B19"/>
    <w:rsid w:val="00CD0CD8"/>
    <w:rsid w:val="00CD113A"/>
    <w:rsid w:val="00CD1B35"/>
    <w:rsid w:val="00CD20A0"/>
    <w:rsid w:val="00CD3159"/>
    <w:rsid w:val="00CD64FD"/>
    <w:rsid w:val="00CD6BA3"/>
    <w:rsid w:val="00CD6EF1"/>
    <w:rsid w:val="00CE0615"/>
    <w:rsid w:val="00CE152D"/>
    <w:rsid w:val="00CE1642"/>
    <w:rsid w:val="00CE2139"/>
    <w:rsid w:val="00CE27DE"/>
    <w:rsid w:val="00CE34F6"/>
    <w:rsid w:val="00CE5729"/>
    <w:rsid w:val="00CE62EF"/>
    <w:rsid w:val="00CE6B0B"/>
    <w:rsid w:val="00CE6FDF"/>
    <w:rsid w:val="00CE7320"/>
    <w:rsid w:val="00CF09D0"/>
    <w:rsid w:val="00CF1547"/>
    <w:rsid w:val="00CF1617"/>
    <w:rsid w:val="00CF2363"/>
    <w:rsid w:val="00CF2771"/>
    <w:rsid w:val="00CF2EE5"/>
    <w:rsid w:val="00CF3C30"/>
    <w:rsid w:val="00CF3CF9"/>
    <w:rsid w:val="00CF3EB6"/>
    <w:rsid w:val="00CF3EF8"/>
    <w:rsid w:val="00CF4ED3"/>
    <w:rsid w:val="00CF5741"/>
    <w:rsid w:val="00CF60D0"/>
    <w:rsid w:val="00CF6254"/>
    <w:rsid w:val="00CF6D29"/>
    <w:rsid w:val="00CF6DE9"/>
    <w:rsid w:val="00CF7DA3"/>
    <w:rsid w:val="00CF7EC9"/>
    <w:rsid w:val="00D000E2"/>
    <w:rsid w:val="00D009E6"/>
    <w:rsid w:val="00D01E9C"/>
    <w:rsid w:val="00D02D6B"/>
    <w:rsid w:val="00D04A87"/>
    <w:rsid w:val="00D0641D"/>
    <w:rsid w:val="00D06F50"/>
    <w:rsid w:val="00D079DF"/>
    <w:rsid w:val="00D10F6D"/>
    <w:rsid w:val="00D1247A"/>
    <w:rsid w:val="00D125BE"/>
    <w:rsid w:val="00D137DB"/>
    <w:rsid w:val="00D14562"/>
    <w:rsid w:val="00D14E2E"/>
    <w:rsid w:val="00D16036"/>
    <w:rsid w:val="00D16EF5"/>
    <w:rsid w:val="00D1703F"/>
    <w:rsid w:val="00D17C63"/>
    <w:rsid w:val="00D17F3F"/>
    <w:rsid w:val="00D2048A"/>
    <w:rsid w:val="00D209CD"/>
    <w:rsid w:val="00D20A52"/>
    <w:rsid w:val="00D211EA"/>
    <w:rsid w:val="00D21500"/>
    <w:rsid w:val="00D22B5D"/>
    <w:rsid w:val="00D23122"/>
    <w:rsid w:val="00D237AA"/>
    <w:rsid w:val="00D24511"/>
    <w:rsid w:val="00D2591D"/>
    <w:rsid w:val="00D25B07"/>
    <w:rsid w:val="00D26A0C"/>
    <w:rsid w:val="00D2773E"/>
    <w:rsid w:val="00D3006F"/>
    <w:rsid w:val="00D30359"/>
    <w:rsid w:val="00D31082"/>
    <w:rsid w:val="00D312DA"/>
    <w:rsid w:val="00D3215C"/>
    <w:rsid w:val="00D330B3"/>
    <w:rsid w:val="00D33C8E"/>
    <w:rsid w:val="00D34591"/>
    <w:rsid w:val="00D35403"/>
    <w:rsid w:val="00D368D5"/>
    <w:rsid w:val="00D36C9A"/>
    <w:rsid w:val="00D36E96"/>
    <w:rsid w:val="00D37EBD"/>
    <w:rsid w:val="00D37F71"/>
    <w:rsid w:val="00D40902"/>
    <w:rsid w:val="00D40CD7"/>
    <w:rsid w:val="00D41A84"/>
    <w:rsid w:val="00D42556"/>
    <w:rsid w:val="00D43177"/>
    <w:rsid w:val="00D43A52"/>
    <w:rsid w:val="00D456DE"/>
    <w:rsid w:val="00D46DB9"/>
    <w:rsid w:val="00D47038"/>
    <w:rsid w:val="00D47068"/>
    <w:rsid w:val="00D503DB"/>
    <w:rsid w:val="00D508E4"/>
    <w:rsid w:val="00D50A61"/>
    <w:rsid w:val="00D518C1"/>
    <w:rsid w:val="00D51CD4"/>
    <w:rsid w:val="00D51F39"/>
    <w:rsid w:val="00D5287B"/>
    <w:rsid w:val="00D56174"/>
    <w:rsid w:val="00D56856"/>
    <w:rsid w:val="00D56D2F"/>
    <w:rsid w:val="00D57188"/>
    <w:rsid w:val="00D60250"/>
    <w:rsid w:val="00D602A1"/>
    <w:rsid w:val="00D606DA"/>
    <w:rsid w:val="00D60C07"/>
    <w:rsid w:val="00D60D10"/>
    <w:rsid w:val="00D61EFB"/>
    <w:rsid w:val="00D630BC"/>
    <w:rsid w:val="00D65095"/>
    <w:rsid w:val="00D65FB7"/>
    <w:rsid w:val="00D665C9"/>
    <w:rsid w:val="00D669C4"/>
    <w:rsid w:val="00D676F3"/>
    <w:rsid w:val="00D703F6"/>
    <w:rsid w:val="00D70487"/>
    <w:rsid w:val="00D729E8"/>
    <w:rsid w:val="00D72DA9"/>
    <w:rsid w:val="00D736D7"/>
    <w:rsid w:val="00D743FB"/>
    <w:rsid w:val="00D76AB1"/>
    <w:rsid w:val="00D76BE6"/>
    <w:rsid w:val="00D80719"/>
    <w:rsid w:val="00D8261F"/>
    <w:rsid w:val="00D83B95"/>
    <w:rsid w:val="00D83D82"/>
    <w:rsid w:val="00D85006"/>
    <w:rsid w:val="00D85183"/>
    <w:rsid w:val="00D85DCE"/>
    <w:rsid w:val="00D86793"/>
    <w:rsid w:val="00D90B0A"/>
    <w:rsid w:val="00D91810"/>
    <w:rsid w:val="00D91A0C"/>
    <w:rsid w:val="00D9221A"/>
    <w:rsid w:val="00D925A7"/>
    <w:rsid w:val="00D9263D"/>
    <w:rsid w:val="00D92A77"/>
    <w:rsid w:val="00D93929"/>
    <w:rsid w:val="00D941F2"/>
    <w:rsid w:val="00D952A4"/>
    <w:rsid w:val="00D95D6A"/>
    <w:rsid w:val="00D96659"/>
    <w:rsid w:val="00D97AC7"/>
    <w:rsid w:val="00DA10AF"/>
    <w:rsid w:val="00DA1444"/>
    <w:rsid w:val="00DA2114"/>
    <w:rsid w:val="00DA299F"/>
    <w:rsid w:val="00DA3B83"/>
    <w:rsid w:val="00DA3DA1"/>
    <w:rsid w:val="00DA4EA1"/>
    <w:rsid w:val="00DA4F34"/>
    <w:rsid w:val="00DA55B7"/>
    <w:rsid w:val="00DA56BF"/>
    <w:rsid w:val="00DA59AF"/>
    <w:rsid w:val="00DA7FB6"/>
    <w:rsid w:val="00DB0000"/>
    <w:rsid w:val="00DB1966"/>
    <w:rsid w:val="00DB3052"/>
    <w:rsid w:val="00DB30D0"/>
    <w:rsid w:val="00DB488F"/>
    <w:rsid w:val="00DB4B2D"/>
    <w:rsid w:val="00DB4FB1"/>
    <w:rsid w:val="00DB5C15"/>
    <w:rsid w:val="00DB66B7"/>
    <w:rsid w:val="00DB7AC0"/>
    <w:rsid w:val="00DB7CF0"/>
    <w:rsid w:val="00DC014B"/>
    <w:rsid w:val="00DC01E7"/>
    <w:rsid w:val="00DC0367"/>
    <w:rsid w:val="00DC0768"/>
    <w:rsid w:val="00DC1F34"/>
    <w:rsid w:val="00DC3F75"/>
    <w:rsid w:val="00DC428D"/>
    <w:rsid w:val="00DC478C"/>
    <w:rsid w:val="00DC51DE"/>
    <w:rsid w:val="00DD0A72"/>
    <w:rsid w:val="00DD17CF"/>
    <w:rsid w:val="00DD19DC"/>
    <w:rsid w:val="00DD2D0D"/>
    <w:rsid w:val="00DD38A2"/>
    <w:rsid w:val="00DD3901"/>
    <w:rsid w:val="00DD5859"/>
    <w:rsid w:val="00DD6337"/>
    <w:rsid w:val="00DE135A"/>
    <w:rsid w:val="00DE1ABC"/>
    <w:rsid w:val="00DE2552"/>
    <w:rsid w:val="00DE2713"/>
    <w:rsid w:val="00DE2E53"/>
    <w:rsid w:val="00DE3BBB"/>
    <w:rsid w:val="00DE4AC6"/>
    <w:rsid w:val="00DE4B62"/>
    <w:rsid w:val="00DE4E3D"/>
    <w:rsid w:val="00DE6617"/>
    <w:rsid w:val="00DE6FDB"/>
    <w:rsid w:val="00DE71A5"/>
    <w:rsid w:val="00DF0162"/>
    <w:rsid w:val="00DF0987"/>
    <w:rsid w:val="00DF09CD"/>
    <w:rsid w:val="00DF0D9C"/>
    <w:rsid w:val="00DF1762"/>
    <w:rsid w:val="00DF2308"/>
    <w:rsid w:val="00DF3E10"/>
    <w:rsid w:val="00DF45BA"/>
    <w:rsid w:val="00DF4BE4"/>
    <w:rsid w:val="00DF5913"/>
    <w:rsid w:val="00DF62B2"/>
    <w:rsid w:val="00DF6B9A"/>
    <w:rsid w:val="00DF746F"/>
    <w:rsid w:val="00E0002F"/>
    <w:rsid w:val="00E00A2C"/>
    <w:rsid w:val="00E00B05"/>
    <w:rsid w:val="00E01BC2"/>
    <w:rsid w:val="00E02526"/>
    <w:rsid w:val="00E03756"/>
    <w:rsid w:val="00E042F8"/>
    <w:rsid w:val="00E055DD"/>
    <w:rsid w:val="00E06AFA"/>
    <w:rsid w:val="00E06D9B"/>
    <w:rsid w:val="00E07054"/>
    <w:rsid w:val="00E07C86"/>
    <w:rsid w:val="00E102FA"/>
    <w:rsid w:val="00E10C69"/>
    <w:rsid w:val="00E11511"/>
    <w:rsid w:val="00E117BD"/>
    <w:rsid w:val="00E129C6"/>
    <w:rsid w:val="00E13506"/>
    <w:rsid w:val="00E1498A"/>
    <w:rsid w:val="00E17A41"/>
    <w:rsid w:val="00E205B2"/>
    <w:rsid w:val="00E20A7C"/>
    <w:rsid w:val="00E210BA"/>
    <w:rsid w:val="00E21228"/>
    <w:rsid w:val="00E212CE"/>
    <w:rsid w:val="00E218B9"/>
    <w:rsid w:val="00E21AAD"/>
    <w:rsid w:val="00E24DD7"/>
    <w:rsid w:val="00E24DE1"/>
    <w:rsid w:val="00E25E4E"/>
    <w:rsid w:val="00E26714"/>
    <w:rsid w:val="00E267F3"/>
    <w:rsid w:val="00E30E65"/>
    <w:rsid w:val="00E322B1"/>
    <w:rsid w:val="00E342CD"/>
    <w:rsid w:val="00E345AB"/>
    <w:rsid w:val="00E34F2E"/>
    <w:rsid w:val="00E357C9"/>
    <w:rsid w:val="00E36A55"/>
    <w:rsid w:val="00E37302"/>
    <w:rsid w:val="00E37E0D"/>
    <w:rsid w:val="00E42E0D"/>
    <w:rsid w:val="00E43239"/>
    <w:rsid w:val="00E43F1F"/>
    <w:rsid w:val="00E45768"/>
    <w:rsid w:val="00E46E67"/>
    <w:rsid w:val="00E47C87"/>
    <w:rsid w:val="00E47F24"/>
    <w:rsid w:val="00E5029B"/>
    <w:rsid w:val="00E503C9"/>
    <w:rsid w:val="00E51E35"/>
    <w:rsid w:val="00E52455"/>
    <w:rsid w:val="00E528EB"/>
    <w:rsid w:val="00E53679"/>
    <w:rsid w:val="00E543CE"/>
    <w:rsid w:val="00E549B2"/>
    <w:rsid w:val="00E560B5"/>
    <w:rsid w:val="00E57302"/>
    <w:rsid w:val="00E57623"/>
    <w:rsid w:val="00E60C23"/>
    <w:rsid w:val="00E60DD9"/>
    <w:rsid w:val="00E61EAF"/>
    <w:rsid w:val="00E63BB1"/>
    <w:rsid w:val="00E6449B"/>
    <w:rsid w:val="00E64C32"/>
    <w:rsid w:val="00E64F82"/>
    <w:rsid w:val="00E65258"/>
    <w:rsid w:val="00E65B2E"/>
    <w:rsid w:val="00E65EC0"/>
    <w:rsid w:val="00E66F86"/>
    <w:rsid w:val="00E67C43"/>
    <w:rsid w:val="00E70048"/>
    <w:rsid w:val="00E70C44"/>
    <w:rsid w:val="00E7118A"/>
    <w:rsid w:val="00E724D8"/>
    <w:rsid w:val="00E72E19"/>
    <w:rsid w:val="00E72E28"/>
    <w:rsid w:val="00E75F4E"/>
    <w:rsid w:val="00E76AC7"/>
    <w:rsid w:val="00E770DB"/>
    <w:rsid w:val="00E7765C"/>
    <w:rsid w:val="00E8278B"/>
    <w:rsid w:val="00E831FE"/>
    <w:rsid w:val="00E83292"/>
    <w:rsid w:val="00E83EDF"/>
    <w:rsid w:val="00E84960"/>
    <w:rsid w:val="00E87C73"/>
    <w:rsid w:val="00E908A6"/>
    <w:rsid w:val="00E917AF"/>
    <w:rsid w:val="00E93799"/>
    <w:rsid w:val="00E94030"/>
    <w:rsid w:val="00E94424"/>
    <w:rsid w:val="00E94A5D"/>
    <w:rsid w:val="00E95415"/>
    <w:rsid w:val="00E95605"/>
    <w:rsid w:val="00E95F35"/>
    <w:rsid w:val="00E962C8"/>
    <w:rsid w:val="00E9683D"/>
    <w:rsid w:val="00E979B1"/>
    <w:rsid w:val="00EA1247"/>
    <w:rsid w:val="00EA416B"/>
    <w:rsid w:val="00EA530E"/>
    <w:rsid w:val="00EA613F"/>
    <w:rsid w:val="00EA7666"/>
    <w:rsid w:val="00EB0EAE"/>
    <w:rsid w:val="00EB14D4"/>
    <w:rsid w:val="00EB2319"/>
    <w:rsid w:val="00EB286E"/>
    <w:rsid w:val="00EB3F3B"/>
    <w:rsid w:val="00EB4684"/>
    <w:rsid w:val="00EB4841"/>
    <w:rsid w:val="00EB48C4"/>
    <w:rsid w:val="00EB4EBF"/>
    <w:rsid w:val="00EB5453"/>
    <w:rsid w:val="00EB5F75"/>
    <w:rsid w:val="00EB63FC"/>
    <w:rsid w:val="00EB69C1"/>
    <w:rsid w:val="00EC0C00"/>
    <w:rsid w:val="00EC0DBE"/>
    <w:rsid w:val="00EC133F"/>
    <w:rsid w:val="00EC215E"/>
    <w:rsid w:val="00EC28AE"/>
    <w:rsid w:val="00EC29BB"/>
    <w:rsid w:val="00EC3B9A"/>
    <w:rsid w:val="00EC3CA9"/>
    <w:rsid w:val="00EC5224"/>
    <w:rsid w:val="00EC5FA1"/>
    <w:rsid w:val="00EC78B4"/>
    <w:rsid w:val="00ED0353"/>
    <w:rsid w:val="00ED089B"/>
    <w:rsid w:val="00ED2179"/>
    <w:rsid w:val="00ED26D0"/>
    <w:rsid w:val="00ED31B3"/>
    <w:rsid w:val="00ED3955"/>
    <w:rsid w:val="00ED3D1B"/>
    <w:rsid w:val="00ED4879"/>
    <w:rsid w:val="00ED549E"/>
    <w:rsid w:val="00ED5F4C"/>
    <w:rsid w:val="00ED6F40"/>
    <w:rsid w:val="00ED7B6C"/>
    <w:rsid w:val="00ED7DC8"/>
    <w:rsid w:val="00EE03E7"/>
    <w:rsid w:val="00EE0C6D"/>
    <w:rsid w:val="00EE2679"/>
    <w:rsid w:val="00EE4FE6"/>
    <w:rsid w:val="00EE5033"/>
    <w:rsid w:val="00EE559E"/>
    <w:rsid w:val="00EE577A"/>
    <w:rsid w:val="00EE588E"/>
    <w:rsid w:val="00EE590C"/>
    <w:rsid w:val="00EE5FD0"/>
    <w:rsid w:val="00EE6023"/>
    <w:rsid w:val="00EE63E8"/>
    <w:rsid w:val="00EF0FDF"/>
    <w:rsid w:val="00EF109D"/>
    <w:rsid w:val="00EF109F"/>
    <w:rsid w:val="00EF15F4"/>
    <w:rsid w:val="00EF172E"/>
    <w:rsid w:val="00EF1C11"/>
    <w:rsid w:val="00EF22B8"/>
    <w:rsid w:val="00EF26E8"/>
    <w:rsid w:val="00EF298E"/>
    <w:rsid w:val="00EF2DBD"/>
    <w:rsid w:val="00EF3B5C"/>
    <w:rsid w:val="00EF3BA1"/>
    <w:rsid w:val="00EF468D"/>
    <w:rsid w:val="00EF47F0"/>
    <w:rsid w:val="00EF5948"/>
    <w:rsid w:val="00EF5EBD"/>
    <w:rsid w:val="00F004EA"/>
    <w:rsid w:val="00F00FA3"/>
    <w:rsid w:val="00F011A7"/>
    <w:rsid w:val="00F02694"/>
    <w:rsid w:val="00F02AFC"/>
    <w:rsid w:val="00F03CAA"/>
    <w:rsid w:val="00F04218"/>
    <w:rsid w:val="00F0592B"/>
    <w:rsid w:val="00F060C9"/>
    <w:rsid w:val="00F0656D"/>
    <w:rsid w:val="00F06710"/>
    <w:rsid w:val="00F07213"/>
    <w:rsid w:val="00F1056E"/>
    <w:rsid w:val="00F1076C"/>
    <w:rsid w:val="00F11474"/>
    <w:rsid w:val="00F14FF3"/>
    <w:rsid w:val="00F16B47"/>
    <w:rsid w:val="00F16F47"/>
    <w:rsid w:val="00F17F30"/>
    <w:rsid w:val="00F2230D"/>
    <w:rsid w:val="00F2370F"/>
    <w:rsid w:val="00F237C9"/>
    <w:rsid w:val="00F2381C"/>
    <w:rsid w:val="00F24929"/>
    <w:rsid w:val="00F24D14"/>
    <w:rsid w:val="00F25D51"/>
    <w:rsid w:val="00F25F4A"/>
    <w:rsid w:val="00F26237"/>
    <w:rsid w:val="00F267EF"/>
    <w:rsid w:val="00F276E7"/>
    <w:rsid w:val="00F30312"/>
    <w:rsid w:val="00F306D3"/>
    <w:rsid w:val="00F322DE"/>
    <w:rsid w:val="00F335C6"/>
    <w:rsid w:val="00F358E3"/>
    <w:rsid w:val="00F366BA"/>
    <w:rsid w:val="00F40149"/>
    <w:rsid w:val="00F402D9"/>
    <w:rsid w:val="00F40FDC"/>
    <w:rsid w:val="00F414F5"/>
    <w:rsid w:val="00F42BCC"/>
    <w:rsid w:val="00F42E7B"/>
    <w:rsid w:val="00F433C3"/>
    <w:rsid w:val="00F45413"/>
    <w:rsid w:val="00F46848"/>
    <w:rsid w:val="00F46DB0"/>
    <w:rsid w:val="00F475B8"/>
    <w:rsid w:val="00F4777B"/>
    <w:rsid w:val="00F502E5"/>
    <w:rsid w:val="00F52B88"/>
    <w:rsid w:val="00F52BAD"/>
    <w:rsid w:val="00F52EE0"/>
    <w:rsid w:val="00F5321C"/>
    <w:rsid w:val="00F5324F"/>
    <w:rsid w:val="00F535D5"/>
    <w:rsid w:val="00F53604"/>
    <w:rsid w:val="00F53EC0"/>
    <w:rsid w:val="00F53EE6"/>
    <w:rsid w:val="00F55AF8"/>
    <w:rsid w:val="00F57D1B"/>
    <w:rsid w:val="00F57EDA"/>
    <w:rsid w:val="00F57FC6"/>
    <w:rsid w:val="00F6072A"/>
    <w:rsid w:val="00F61DA6"/>
    <w:rsid w:val="00F62365"/>
    <w:rsid w:val="00F626C0"/>
    <w:rsid w:val="00F643E5"/>
    <w:rsid w:val="00F64DF2"/>
    <w:rsid w:val="00F67527"/>
    <w:rsid w:val="00F70D77"/>
    <w:rsid w:val="00F71338"/>
    <w:rsid w:val="00F737B8"/>
    <w:rsid w:val="00F73B96"/>
    <w:rsid w:val="00F74257"/>
    <w:rsid w:val="00F76B8A"/>
    <w:rsid w:val="00F81365"/>
    <w:rsid w:val="00F83B7B"/>
    <w:rsid w:val="00F83F73"/>
    <w:rsid w:val="00F85EC5"/>
    <w:rsid w:val="00F90EC0"/>
    <w:rsid w:val="00F911E2"/>
    <w:rsid w:val="00F91B68"/>
    <w:rsid w:val="00F91D5E"/>
    <w:rsid w:val="00F93196"/>
    <w:rsid w:val="00F9383C"/>
    <w:rsid w:val="00F938A2"/>
    <w:rsid w:val="00F95DE5"/>
    <w:rsid w:val="00F96B90"/>
    <w:rsid w:val="00F96D29"/>
    <w:rsid w:val="00FA0B84"/>
    <w:rsid w:val="00FA16CD"/>
    <w:rsid w:val="00FA17C7"/>
    <w:rsid w:val="00FA23CE"/>
    <w:rsid w:val="00FA26BB"/>
    <w:rsid w:val="00FA3083"/>
    <w:rsid w:val="00FA3122"/>
    <w:rsid w:val="00FA321B"/>
    <w:rsid w:val="00FA387B"/>
    <w:rsid w:val="00FA3EE1"/>
    <w:rsid w:val="00FA3FB7"/>
    <w:rsid w:val="00FA56BD"/>
    <w:rsid w:val="00FA5D98"/>
    <w:rsid w:val="00FA690D"/>
    <w:rsid w:val="00FA6B66"/>
    <w:rsid w:val="00FB1E99"/>
    <w:rsid w:val="00FB22DD"/>
    <w:rsid w:val="00FB633F"/>
    <w:rsid w:val="00FB68C9"/>
    <w:rsid w:val="00FB699C"/>
    <w:rsid w:val="00FB6B6F"/>
    <w:rsid w:val="00FB74F3"/>
    <w:rsid w:val="00FC0906"/>
    <w:rsid w:val="00FC1C8B"/>
    <w:rsid w:val="00FC2874"/>
    <w:rsid w:val="00FC3761"/>
    <w:rsid w:val="00FC384D"/>
    <w:rsid w:val="00FC43EB"/>
    <w:rsid w:val="00FC4C98"/>
    <w:rsid w:val="00FC5309"/>
    <w:rsid w:val="00FC55BD"/>
    <w:rsid w:val="00FC565C"/>
    <w:rsid w:val="00FC5CBF"/>
    <w:rsid w:val="00FC6ACF"/>
    <w:rsid w:val="00FC73A9"/>
    <w:rsid w:val="00FC78A3"/>
    <w:rsid w:val="00FC78B5"/>
    <w:rsid w:val="00FD036E"/>
    <w:rsid w:val="00FD0D19"/>
    <w:rsid w:val="00FD1901"/>
    <w:rsid w:val="00FD3AC7"/>
    <w:rsid w:val="00FD3C7E"/>
    <w:rsid w:val="00FD44B2"/>
    <w:rsid w:val="00FD531D"/>
    <w:rsid w:val="00FD737B"/>
    <w:rsid w:val="00FD7D75"/>
    <w:rsid w:val="00FE04ED"/>
    <w:rsid w:val="00FE1217"/>
    <w:rsid w:val="00FE172B"/>
    <w:rsid w:val="00FE184C"/>
    <w:rsid w:val="00FE1C24"/>
    <w:rsid w:val="00FE31C1"/>
    <w:rsid w:val="00FE437F"/>
    <w:rsid w:val="00FE503C"/>
    <w:rsid w:val="00FE509B"/>
    <w:rsid w:val="00FE5E01"/>
    <w:rsid w:val="00FE60CD"/>
    <w:rsid w:val="00FF1303"/>
    <w:rsid w:val="00FF1537"/>
    <w:rsid w:val="00FF1EA0"/>
    <w:rsid w:val="00FF2009"/>
    <w:rsid w:val="00FF2791"/>
    <w:rsid w:val="00FF3F2A"/>
    <w:rsid w:val="00FF470B"/>
    <w:rsid w:val="00FF49A0"/>
    <w:rsid w:val="00FF5451"/>
    <w:rsid w:val="00FF5B74"/>
    <w:rsid w:val="00FF5F81"/>
    <w:rsid w:val="00FF6238"/>
    <w:rsid w:val="00FF70EF"/>
    <w:rsid w:val="00FF764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BD87A9"/>
  <w15:docId w15:val="{5A4D410D-D5AB-4DB2-8309-D2483FEE3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575"/>
    <w:pPr>
      <w:spacing w:after="0" w:line="240" w:lineRule="auto"/>
    </w:pPr>
    <w:rPr>
      <w:rFonts w:ascii="Times New Roman" w:eastAsia="Times New Roman" w:hAnsi="Times New Roman" w:cs="Times New Roman"/>
      <w:sz w:val="24"/>
      <w:szCs w:val="24"/>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1CA4"/>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uiPriority w:val="99"/>
    <w:semiHidden/>
    <w:rsid w:val="00691CA4"/>
    <w:rPr>
      <w:rFonts w:ascii="Tahoma" w:hAnsi="Tahoma" w:cs="Tahoma"/>
      <w:sz w:val="16"/>
      <w:szCs w:val="16"/>
    </w:rPr>
  </w:style>
  <w:style w:type="table" w:styleId="TableGrid">
    <w:name w:val="Table Grid"/>
    <w:basedOn w:val="TableNormal"/>
    <w:uiPriority w:val="59"/>
    <w:rsid w:val="00193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1139"/>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PlaceholderText">
    <w:name w:val="Placeholder Text"/>
    <w:basedOn w:val="DefaultParagraphFont"/>
    <w:uiPriority w:val="99"/>
    <w:semiHidden/>
    <w:rsid w:val="00C803CC"/>
    <w:rPr>
      <w:color w:val="808080"/>
    </w:rPr>
  </w:style>
  <w:style w:type="paragraph" w:styleId="Header">
    <w:name w:val="header"/>
    <w:basedOn w:val="Normal"/>
    <w:link w:val="HeaderChar"/>
    <w:uiPriority w:val="99"/>
    <w:unhideWhenUsed/>
    <w:rsid w:val="00FA387B"/>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FA387B"/>
  </w:style>
  <w:style w:type="paragraph" w:styleId="Footer">
    <w:name w:val="footer"/>
    <w:basedOn w:val="Normal"/>
    <w:link w:val="FooterChar"/>
    <w:uiPriority w:val="99"/>
    <w:unhideWhenUsed/>
    <w:rsid w:val="00FA387B"/>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FA387B"/>
  </w:style>
  <w:style w:type="paragraph" w:styleId="NormalWeb">
    <w:name w:val="Normal (Web)"/>
    <w:basedOn w:val="Normal"/>
    <w:uiPriority w:val="99"/>
    <w:unhideWhenUsed/>
    <w:rsid w:val="00811ECE"/>
    <w:pPr>
      <w:spacing w:before="100" w:beforeAutospacing="1" w:after="100" w:afterAutospacing="1"/>
    </w:pPr>
    <w:rPr>
      <w:rFonts w:eastAsiaTheme="minorEastAsia"/>
      <w:lang w:val="en-US" w:eastAsia="en-US"/>
    </w:rPr>
  </w:style>
  <w:style w:type="paragraph" w:styleId="FootnoteText">
    <w:name w:val="footnote text"/>
    <w:basedOn w:val="Normal"/>
    <w:link w:val="FootnoteTextChar"/>
    <w:uiPriority w:val="99"/>
    <w:unhideWhenUsed/>
    <w:rsid w:val="001D3375"/>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rsid w:val="001D3375"/>
    <w:rPr>
      <w:sz w:val="20"/>
      <w:szCs w:val="20"/>
    </w:rPr>
  </w:style>
  <w:style w:type="character" w:styleId="FootnoteReference">
    <w:name w:val="footnote reference"/>
    <w:basedOn w:val="DefaultParagraphFont"/>
    <w:uiPriority w:val="99"/>
    <w:unhideWhenUsed/>
    <w:rsid w:val="001D3375"/>
    <w:rPr>
      <w:vertAlign w:val="superscript"/>
    </w:rPr>
  </w:style>
  <w:style w:type="character" w:styleId="CommentReference">
    <w:name w:val="annotation reference"/>
    <w:basedOn w:val="DefaultParagraphFont"/>
    <w:unhideWhenUsed/>
    <w:rsid w:val="008122CA"/>
    <w:rPr>
      <w:sz w:val="16"/>
      <w:szCs w:val="16"/>
    </w:rPr>
  </w:style>
  <w:style w:type="paragraph" w:styleId="CommentText">
    <w:name w:val="annotation text"/>
    <w:basedOn w:val="Normal"/>
    <w:link w:val="CommentTextChar"/>
    <w:unhideWhenUsed/>
    <w:rsid w:val="008122CA"/>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rsid w:val="008122CA"/>
    <w:rPr>
      <w:sz w:val="20"/>
      <w:szCs w:val="20"/>
    </w:rPr>
  </w:style>
  <w:style w:type="paragraph" w:styleId="CommentSubject">
    <w:name w:val="annotation subject"/>
    <w:basedOn w:val="CommentText"/>
    <w:next w:val="CommentText"/>
    <w:link w:val="CommentSubjectChar"/>
    <w:uiPriority w:val="99"/>
    <w:semiHidden/>
    <w:unhideWhenUsed/>
    <w:rsid w:val="008122CA"/>
    <w:rPr>
      <w:b/>
      <w:bCs/>
    </w:rPr>
  </w:style>
  <w:style w:type="character" w:customStyle="1" w:styleId="CommentSubjectChar">
    <w:name w:val="Comment Subject Char"/>
    <w:basedOn w:val="CommentTextChar"/>
    <w:link w:val="CommentSubject"/>
    <w:uiPriority w:val="99"/>
    <w:semiHidden/>
    <w:rsid w:val="008122CA"/>
    <w:rPr>
      <w:b/>
      <w:bCs/>
      <w:sz w:val="20"/>
      <w:szCs w:val="20"/>
    </w:rPr>
  </w:style>
  <w:style w:type="paragraph" w:styleId="Revision">
    <w:name w:val="Revision"/>
    <w:hidden/>
    <w:uiPriority w:val="99"/>
    <w:semiHidden/>
    <w:rsid w:val="002E3C5D"/>
    <w:pPr>
      <w:spacing w:after="0" w:line="240" w:lineRule="auto"/>
    </w:pPr>
  </w:style>
  <w:style w:type="character" w:styleId="Hyperlink">
    <w:name w:val="Hyperlink"/>
    <w:basedOn w:val="DefaultParagraphFont"/>
    <w:uiPriority w:val="99"/>
    <w:unhideWhenUsed/>
    <w:rsid w:val="00795362"/>
    <w:rPr>
      <w:color w:val="0000FF" w:themeColor="hyperlink"/>
      <w:u w:val="single"/>
    </w:rPr>
  </w:style>
  <w:style w:type="character" w:styleId="UnresolvedMention">
    <w:name w:val="Unresolved Mention"/>
    <w:basedOn w:val="DefaultParagraphFont"/>
    <w:uiPriority w:val="99"/>
    <w:semiHidden/>
    <w:unhideWhenUsed/>
    <w:rsid w:val="003F6CBF"/>
    <w:rPr>
      <w:color w:val="605E5C"/>
      <w:shd w:val="clear" w:color="auto" w:fill="E1DFDD"/>
    </w:rPr>
  </w:style>
  <w:style w:type="character" w:styleId="FollowedHyperlink">
    <w:name w:val="FollowedHyperlink"/>
    <w:basedOn w:val="DefaultParagraphFont"/>
    <w:uiPriority w:val="99"/>
    <w:semiHidden/>
    <w:unhideWhenUsed/>
    <w:rsid w:val="00EB5453"/>
    <w:rPr>
      <w:color w:val="800080" w:themeColor="followedHyperlink"/>
      <w:u w:val="single"/>
    </w:rPr>
  </w:style>
  <w:style w:type="paragraph" w:customStyle="1" w:styleId="number">
    <w:name w:val="number"/>
    <w:basedOn w:val="Normal"/>
    <w:rsid w:val="004732C6"/>
    <w:pPr>
      <w:spacing w:before="100" w:beforeAutospacing="1" w:after="100" w:afterAutospacing="1"/>
    </w:pPr>
    <w:rPr>
      <w:lang w:val="en-US" w:eastAsia="en-US"/>
    </w:rPr>
  </w:style>
  <w:style w:type="character" w:customStyle="1" w:styleId="reftitle">
    <w:name w:val="ref_title"/>
    <w:basedOn w:val="DefaultParagraphFont"/>
    <w:rsid w:val="004732C6"/>
  </w:style>
  <w:style w:type="paragraph" w:styleId="NoSpacing">
    <w:name w:val="No Spacing"/>
    <w:uiPriority w:val="1"/>
    <w:qFormat/>
    <w:rsid w:val="00877163"/>
    <w:pPr>
      <w:spacing w:after="0" w:line="240" w:lineRule="auto"/>
    </w:pPr>
    <w:rPr>
      <w:rFonts w:ascii="Times New Roman" w:eastAsia="Times New Roman" w:hAnsi="Times New Roman" w:cs="Times New Roman"/>
      <w:sz w:val="24"/>
      <w:szCs w:val="24"/>
      <w:lang w:val="en-AU" w:eastAsia="en-GB"/>
    </w:rPr>
  </w:style>
  <w:style w:type="character" w:customStyle="1" w:styleId="markjly38dgig">
    <w:name w:val="markjly38dgig"/>
    <w:basedOn w:val="DefaultParagraphFont"/>
    <w:rsid w:val="00745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0805">
      <w:bodyDiv w:val="1"/>
      <w:marLeft w:val="0"/>
      <w:marRight w:val="0"/>
      <w:marTop w:val="0"/>
      <w:marBottom w:val="0"/>
      <w:divBdr>
        <w:top w:val="none" w:sz="0" w:space="0" w:color="auto"/>
        <w:left w:val="none" w:sz="0" w:space="0" w:color="auto"/>
        <w:bottom w:val="none" w:sz="0" w:space="0" w:color="auto"/>
        <w:right w:val="none" w:sz="0" w:space="0" w:color="auto"/>
      </w:divBdr>
    </w:div>
    <w:div w:id="41949725">
      <w:bodyDiv w:val="1"/>
      <w:marLeft w:val="0"/>
      <w:marRight w:val="0"/>
      <w:marTop w:val="0"/>
      <w:marBottom w:val="0"/>
      <w:divBdr>
        <w:top w:val="none" w:sz="0" w:space="0" w:color="auto"/>
        <w:left w:val="none" w:sz="0" w:space="0" w:color="auto"/>
        <w:bottom w:val="none" w:sz="0" w:space="0" w:color="auto"/>
        <w:right w:val="none" w:sz="0" w:space="0" w:color="auto"/>
      </w:divBdr>
    </w:div>
    <w:div w:id="142477792">
      <w:bodyDiv w:val="1"/>
      <w:marLeft w:val="0"/>
      <w:marRight w:val="0"/>
      <w:marTop w:val="0"/>
      <w:marBottom w:val="0"/>
      <w:divBdr>
        <w:top w:val="none" w:sz="0" w:space="0" w:color="auto"/>
        <w:left w:val="none" w:sz="0" w:space="0" w:color="auto"/>
        <w:bottom w:val="none" w:sz="0" w:space="0" w:color="auto"/>
        <w:right w:val="none" w:sz="0" w:space="0" w:color="auto"/>
      </w:divBdr>
    </w:div>
    <w:div w:id="217400188">
      <w:bodyDiv w:val="1"/>
      <w:marLeft w:val="0"/>
      <w:marRight w:val="0"/>
      <w:marTop w:val="0"/>
      <w:marBottom w:val="0"/>
      <w:divBdr>
        <w:top w:val="none" w:sz="0" w:space="0" w:color="auto"/>
        <w:left w:val="none" w:sz="0" w:space="0" w:color="auto"/>
        <w:bottom w:val="none" w:sz="0" w:space="0" w:color="auto"/>
        <w:right w:val="none" w:sz="0" w:space="0" w:color="auto"/>
      </w:divBdr>
    </w:div>
    <w:div w:id="278492544">
      <w:bodyDiv w:val="1"/>
      <w:marLeft w:val="0"/>
      <w:marRight w:val="0"/>
      <w:marTop w:val="0"/>
      <w:marBottom w:val="0"/>
      <w:divBdr>
        <w:top w:val="none" w:sz="0" w:space="0" w:color="auto"/>
        <w:left w:val="none" w:sz="0" w:space="0" w:color="auto"/>
        <w:bottom w:val="none" w:sz="0" w:space="0" w:color="auto"/>
        <w:right w:val="none" w:sz="0" w:space="0" w:color="auto"/>
      </w:divBdr>
    </w:div>
    <w:div w:id="294411025">
      <w:bodyDiv w:val="1"/>
      <w:marLeft w:val="0"/>
      <w:marRight w:val="0"/>
      <w:marTop w:val="0"/>
      <w:marBottom w:val="0"/>
      <w:divBdr>
        <w:top w:val="none" w:sz="0" w:space="0" w:color="auto"/>
        <w:left w:val="none" w:sz="0" w:space="0" w:color="auto"/>
        <w:bottom w:val="none" w:sz="0" w:space="0" w:color="auto"/>
        <w:right w:val="none" w:sz="0" w:space="0" w:color="auto"/>
      </w:divBdr>
    </w:div>
    <w:div w:id="431558668">
      <w:bodyDiv w:val="1"/>
      <w:marLeft w:val="0"/>
      <w:marRight w:val="0"/>
      <w:marTop w:val="0"/>
      <w:marBottom w:val="0"/>
      <w:divBdr>
        <w:top w:val="none" w:sz="0" w:space="0" w:color="auto"/>
        <w:left w:val="none" w:sz="0" w:space="0" w:color="auto"/>
        <w:bottom w:val="none" w:sz="0" w:space="0" w:color="auto"/>
        <w:right w:val="none" w:sz="0" w:space="0" w:color="auto"/>
      </w:divBdr>
    </w:div>
    <w:div w:id="524178780">
      <w:bodyDiv w:val="1"/>
      <w:marLeft w:val="0"/>
      <w:marRight w:val="0"/>
      <w:marTop w:val="0"/>
      <w:marBottom w:val="0"/>
      <w:divBdr>
        <w:top w:val="none" w:sz="0" w:space="0" w:color="auto"/>
        <w:left w:val="none" w:sz="0" w:space="0" w:color="auto"/>
        <w:bottom w:val="none" w:sz="0" w:space="0" w:color="auto"/>
        <w:right w:val="none" w:sz="0" w:space="0" w:color="auto"/>
      </w:divBdr>
    </w:div>
    <w:div w:id="568923767">
      <w:bodyDiv w:val="1"/>
      <w:marLeft w:val="0"/>
      <w:marRight w:val="0"/>
      <w:marTop w:val="0"/>
      <w:marBottom w:val="0"/>
      <w:divBdr>
        <w:top w:val="none" w:sz="0" w:space="0" w:color="auto"/>
        <w:left w:val="none" w:sz="0" w:space="0" w:color="auto"/>
        <w:bottom w:val="none" w:sz="0" w:space="0" w:color="auto"/>
        <w:right w:val="none" w:sz="0" w:space="0" w:color="auto"/>
      </w:divBdr>
    </w:div>
    <w:div w:id="607080087">
      <w:bodyDiv w:val="1"/>
      <w:marLeft w:val="0"/>
      <w:marRight w:val="0"/>
      <w:marTop w:val="0"/>
      <w:marBottom w:val="0"/>
      <w:divBdr>
        <w:top w:val="none" w:sz="0" w:space="0" w:color="auto"/>
        <w:left w:val="none" w:sz="0" w:space="0" w:color="auto"/>
        <w:bottom w:val="none" w:sz="0" w:space="0" w:color="auto"/>
        <w:right w:val="none" w:sz="0" w:space="0" w:color="auto"/>
      </w:divBdr>
    </w:div>
    <w:div w:id="637301296">
      <w:bodyDiv w:val="1"/>
      <w:marLeft w:val="0"/>
      <w:marRight w:val="0"/>
      <w:marTop w:val="0"/>
      <w:marBottom w:val="0"/>
      <w:divBdr>
        <w:top w:val="none" w:sz="0" w:space="0" w:color="auto"/>
        <w:left w:val="none" w:sz="0" w:space="0" w:color="auto"/>
        <w:bottom w:val="none" w:sz="0" w:space="0" w:color="auto"/>
        <w:right w:val="none" w:sz="0" w:space="0" w:color="auto"/>
      </w:divBdr>
    </w:div>
    <w:div w:id="663048989">
      <w:bodyDiv w:val="1"/>
      <w:marLeft w:val="0"/>
      <w:marRight w:val="0"/>
      <w:marTop w:val="0"/>
      <w:marBottom w:val="0"/>
      <w:divBdr>
        <w:top w:val="none" w:sz="0" w:space="0" w:color="auto"/>
        <w:left w:val="none" w:sz="0" w:space="0" w:color="auto"/>
        <w:bottom w:val="none" w:sz="0" w:space="0" w:color="auto"/>
        <w:right w:val="none" w:sz="0" w:space="0" w:color="auto"/>
      </w:divBdr>
      <w:divsChild>
        <w:div w:id="1172834916">
          <w:marLeft w:val="0"/>
          <w:marRight w:val="0"/>
          <w:marTop w:val="0"/>
          <w:marBottom w:val="0"/>
          <w:divBdr>
            <w:top w:val="none" w:sz="0" w:space="0" w:color="auto"/>
            <w:left w:val="none" w:sz="0" w:space="0" w:color="auto"/>
            <w:bottom w:val="none" w:sz="0" w:space="0" w:color="auto"/>
            <w:right w:val="none" w:sz="0" w:space="0" w:color="auto"/>
          </w:divBdr>
          <w:divsChild>
            <w:div w:id="1785420868">
              <w:marLeft w:val="0"/>
              <w:marRight w:val="0"/>
              <w:marTop w:val="0"/>
              <w:marBottom w:val="0"/>
              <w:divBdr>
                <w:top w:val="none" w:sz="0" w:space="0" w:color="auto"/>
                <w:left w:val="none" w:sz="0" w:space="0" w:color="auto"/>
                <w:bottom w:val="none" w:sz="0" w:space="0" w:color="auto"/>
                <w:right w:val="none" w:sz="0" w:space="0" w:color="auto"/>
              </w:divBdr>
              <w:divsChild>
                <w:div w:id="31399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552872">
      <w:bodyDiv w:val="1"/>
      <w:marLeft w:val="0"/>
      <w:marRight w:val="0"/>
      <w:marTop w:val="0"/>
      <w:marBottom w:val="0"/>
      <w:divBdr>
        <w:top w:val="none" w:sz="0" w:space="0" w:color="auto"/>
        <w:left w:val="none" w:sz="0" w:space="0" w:color="auto"/>
        <w:bottom w:val="none" w:sz="0" w:space="0" w:color="auto"/>
        <w:right w:val="none" w:sz="0" w:space="0" w:color="auto"/>
      </w:divBdr>
    </w:div>
    <w:div w:id="737939054">
      <w:bodyDiv w:val="1"/>
      <w:marLeft w:val="0"/>
      <w:marRight w:val="0"/>
      <w:marTop w:val="0"/>
      <w:marBottom w:val="0"/>
      <w:divBdr>
        <w:top w:val="none" w:sz="0" w:space="0" w:color="auto"/>
        <w:left w:val="none" w:sz="0" w:space="0" w:color="auto"/>
        <w:bottom w:val="none" w:sz="0" w:space="0" w:color="auto"/>
        <w:right w:val="none" w:sz="0" w:space="0" w:color="auto"/>
      </w:divBdr>
    </w:div>
    <w:div w:id="754279911">
      <w:bodyDiv w:val="1"/>
      <w:marLeft w:val="0"/>
      <w:marRight w:val="0"/>
      <w:marTop w:val="0"/>
      <w:marBottom w:val="0"/>
      <w:divBdr>
        <w:top w:val="none" w:sz="0" w:space="0" w:color="auto"/>
        <w:left w:val="none" w:sz="0" w:space="0" w:color="auto"/>
        <w:bottom w:val="none" w:sz="0" w:space="0" w:color="auto"/>
        <w:right w:val="none" w:sz="0" w:space="0" w:color="auto"/>
      </w:divBdr>
    </w:div>
    <w:div w:id="810706565">
      <w:bodyDiv w:val="1"/>
      <w:marLeft w:val="0"/>
      <w:marRight w:val="0"/>
      <w:marTop w:val="0"/>
      <w:marBottom w:val="0"/>
      <w:divBdr>
        <w:top w:val="none" w:sz="0" w:space="0" w:color="auto"/>
        <w:left w:val="none" w:sz="0" w:space="0" w:color="auto"/>
        <w:bottom w:val="none" w:sz="0" w:space="0" w:color="auto"/>
        <w:right w:val="none" w:sz="0" w:space="0" w:color="auto"/>
      </w:divBdr>
    </w:div>
    <w:div w:id="858546005">
      <w:bodyDiv w:val="1"/>
      <w:marLeft w:val="0"/>
      <w:marRight w:val="0"/>
      <w:marTop w:val="0"/>
      <w:marBottom w:val="0"/>
      <w:divBdr>
        <w:top w:val="none" w:sz="0" w:space="0" w:color="auto"/>
        <w:left w:val="none" w:sz="0" w:space="0" w:color="auto"/>
        <w:bottom w:val="none" w:sz="0" w:space="0" w:color="auto"/>
        <w:right w:val="none" w:sz="0" w:space="0" w:color="auto"/>
      </w:divBdr>
    </w:div>
    <w:div w:id="876741014">
      <w:bodyDiv w:val="1"/>
      <w:marLeft w:val="0"/>
      <w:marRight w:val="0"/>
      <w:marTop w:val="0"/>
      <w:marBottom w:val="0"/>
      <w:divBdr>
        <w:top w:val="none" w:sz="0" w:space="0" w:color="auto"/>
        <w:left w:val="none" w:sz="0" w:space="0" w:color="auto"/>
        <w:bottom w:val="none" w:sz="0" w:space="0" w:color="auto"/>
        <w:right w:val="none" w:sz="0" w:space="0" w:color="auto"/>
      </w:divBdr>
    </w:div>
    <w:div w:id="944969794">
      <w:bodyDiv w:val="1"/>
      <w:marLeft w:val="0"/>
      <w:marRight w:val="0"/>
      <w:marTop w:val="0"/>
      <w:marBottom w:val="0"/>
      <w:divBdr>
        <w:top w:val="none" w:sz="0" w:space="0" w:color="auto"/>
        <w:left w:val="none" w:sz="0" w:space="0" w:color="auto"/>
        <w:bottom w:val="none" w:sz="0" w:space="0" w:color="auto"/>
        <w:right w:val="none" w:sz="0" w:space="0" w:color="auto"/>
      </w:divBdr>
    </w:div>
    <w:div w:id="951011558">
      <w:bodyDiv w:val="1"/>
      <w:marLeft w:val="0"/>
      <w:marRight w:val="0"/>
      <w:marTop w:val="0"/>
      <w:marBottom w:val="0"/>
      <w:divBdr>
        <w:top w:val="none" w:sz="0" w:space="0" w:color="auto"/>
        <w:left w:val="none" w:sz="0" w:space="0" w:color="auto"/>
        <w:bottom w:val="none" w:sz="0" w:space="0" w:color="auto"/>
        <w:right w:val="none" w:sz="0" w:space="0" w:color="auto"/>
      </w:divBdr>
    </w:div>
    <w:div w:id="1033925302">
      <w:bodyDiv w:val="1"/>
      <w:marLeft w:val="0"/>
      <w:marRight w:val="0"/>
      <w:marTop w:val="0"/>
      <w:marBottom w:val="0"/>
      <w:divBdr>
        <w:top w:val="none" w:sz="0" w:space="0" w:color="auto"/>
        <w:left w:val="none" w:sz="0" w:space="0" w:color="auto"/>
        <w:bottom w:val="none" w:sz="0" w:space="0" w:color="auto"/>
        <w:right w:val="none" w:sz="0" w:space="0" w:color="auto"/>
      </w:divBdr>
    </w:div>
    <w:div w:id="1065568586">
      <w:bodyDiv w:val="1"/>
      <w:marLeft w:val="0"/>
      <w:marRight w:val="0"/>
      <w:marTop w:val="0"/>
      <w:marBottom w:val="0"/>
      <w:divBdr>
        <w:top w:val="none" w:sz="0" w:space="0" w:color="auto"/>
        <w:left w:val="none" w:sz="0" w:space="0" w:color="auto"/>
        <w:bottom w:val="none" w:sz="0" w:space="0" w:color="auto"/>
        <w:right w:val="none" w:sz="0" w:space="0" w:color="auto"/>
      </w:divBdr>
    </w:div>
    <w:div w:id="1086809594">
      <w:bodyDiv w:val="1"/>
      <w:marLeft w:val="0"/>
      <w:marRight w:val="0"/>
      <w:marTop w:val="0"/>
      <w:marBottom w:val="0"/>
      <w:divBdr>
        <w:top w:val="none" w:sz="0" w:space="0" w:color="auto"/>
        <w:left w:val="none" w:sz="0" w:space="0" w:color="auto"/>
        <w:bottom w:val="none" w:sz="0" w:space="0" w:color="auto"/>
        <w:right w:val="none" w:sz="0" w:space="0" w:color="auto"/>
      </w:divBdr>
      <w:divsChild>
        <w:div w:id="1347364431">
          <w:marLeft w:val="0"/>
          <w:marRight w:val="0"/>
          <w:marTop w:val="0"/>
          <w:marBottom w:val="0"/>
          <w:divBdr>
            <w:top w:val="none" w:sz="0" w:space="0" w:color="auto"/>
            <w:left w:val="none" w:sz="0" w:space="0" w:color="auto"/>
            <w:bottom w:val="none" w:sz="0" w:space="0" w:color="auto"/>
            <w:right w:val="none" w:sz="0" w:space="0" w:color="auto"/>
          </w:divBdr>
        </w:div>
      </w:divsChild>
    </w:div>
    <w:div w:id="1110779238">
      <w:bodyDiv w:val="1"/>
      <w:marLeft w:val="0"/>
      <w:marRight w:val="0"/>
      <w:marTop w:val="0"/>
      <w:marBottom w:val="0"/>
      <w:divBdr>
        <w:top w:val="none" w:sz="0" w:space="0" w:color="auto"/>
        <w:left w:val="none" w:sz="0" w:space="0" w:color="auto"/>
        <w:bottom w:val="none" w:sz="0" w:space="0" w:color="auto"/>
        <w:right w:val="none" w:sz="0" w:space="0" w:color="auto"/>
      </w:divBdr>
    </w:div>
    <w:div w:id="1192962663">
      <w:bodyDiv w:val="1"/>
      <w:marLeft w:val="0"/>
      <w:marRight w:val="0"/>
      <w:marTop w:val="0"/>
      <w:marBottom w:val="0"/>
      <w:divBdr>
        <w:top w:val="none" w:sz="0" w:space="0" w:color="auto"/>
        <w:left w:val="none" w:sz="0" w:space="0" w:color="auto"/>
        <w:bottom w:val="none" w:sz="0" w:space="0" w:color="auto"/>
        <w:right w:val="none" w:sz="0" w:space="0" w:color="auto"/>
      </w:divBdr>
    </w:div>
    <w:div w:id="1225025687">
      <w:bodyDiv w:val="1"/>
      <w:marLeft w:val="0"/>
      <w:marRight w:val="0"/>
      <w:marTop w:val="0"/>
      <w:marBottom w:val="0"/>
      <w:divBdr>
        <w:top w:val="none" w:sz="0" w:space="0" w:color="auto"/>
        <w:left w:val="none" w:sz="0" w:space="0" w:color="auto"/>
        <w:bottom w:val="none" w:sz="0" w:space="0" w:color="auto"/>
        <w:right w:val="none" w:sz="0" w:space="0" w:color="auto"/>
      </w:divBdr>
    </w:div>
    <w:div w:id="1394547306">
      <w:bodyDiv w:val="1"/>
      <w:marLeft w:val="0"/>
      <w:marRight w:val="0"/>
      <w:marTop w:val="0"/>
      <w:marBottom w:val="0"/>
      <w:divBdr>
        <w:top w:val="none" w:sz="0" w:space="0" w:color="auto"/>
        <w:left w:val="none" w:sz="0" w:space="0" w:color="auto"/>
        <w:bottom w:val="none" w:sz="0" w:space="0" w:color="auto"/>
        <w:right w:val="none" w:sz="0" w:space="0" w:color="auto"/>
      </w:divBdr>
    </w:div>
    <w:div w:id="1468888060">
      <w:bodyDiv w:val="1"/>
      <w:marLeft w:val="0"/>
      <w:marRight w:val="0"/>
      <w:marTop w:val="0"/>
      <w:marBottom w:val="0"/>
      <w:divBdr>
        <w:top w:val="none" w:sz="0" w:space="0" w:color="auto"/>
        <w:left w:val="none" w:sz="0" w:space="0" w:color="auto"/>
        <w:bottom w:val="none" w:sz="0" w:space="0" w:color="auto"/>
        <w:right w:val="none" w:sz="0" w:space="0" w:color="auto"/>
      </w:divBdr>
    </w:div>
    <w:div w:id="1572420302">
      <w:bodyDiv w:val="1"/>
      <w:marLeft w:val="0"/>
      <w:marRight w:val="0"/>
      <w:marTop w:val="0"/>
      <w:marBottom w:val="0"/>
      <w:divBdr>
        <w:top w:val="none" w:sz="0" w:space="0" w:color="auto"/>
        <w:left w:val="none" w:sz="0" w:space="0" w:color="auto"/>
        <w:bottom w:val="none" w:sz="0" w:space="0" w:color="auto"/>
        <w:right w:val="none" w:sz="0" w:space="0" w:color="auto"/>
      </w:divBdr>
    </w:div>
    <w:div w:id="1609047427">
      <w:bodyDiv w:val="1"/>
      <w:marLeft w:val="0"/>
      <w:marRight w:val="0"/>
      <w:marTop w:val="0"/>
      <w:marBottom w:val="0"/>
      <w:divBdr>
        <w:top w:val="none" w:sz="0" w:space="0" w:color="auto"/>
        <w:left w:val="none" w:sz="0" w:space="0" w:color="auto"/>
        <w:bottom w:val="none" w:sz="0" w:space="0" w:color="auto"/>
        <w:right w:val="none" w:sz="0" w:space="0" w:color="auto"/>
      </w:divBdr>
    </w:div>
    <w:div w:id="1617717215">
      <w:bodyDiv w:val="1"/>
      <w:marLeft w:val="0"/>
      <w:marRight w:val="0"/>
      <w:marTop w:val="0"/>
      <w:marBottom w:val="0"/>
      <w:divBdr>
        <w:top w:val="none" w:sz="0" w:space="0" w:color="auto"/>
        <w:left w:val="none" w:sz="0" w:space="0" w:color="auto"/>
        <w:bottom w:val="none" w:sz="0" w:space="0" w:color="auto"/>
        <w:right w:val="none" w:sz="0" w:space="0" w:color="auto"/>
      </w:divBdr>
    </w:div>
    <w:div w:id="1664353638">
      <w:bodyDiv w:val="1"/>
      <w:marLeft w:val="0"/>
      <w:marRight w:val="0"/>
      <w:marTop w:val="0"/>
      <w:marBottom w:val="0"/>
      <w:divBdr>
        <w:top w:val="none" w:sz="0" w:space="0" w:color="auto"/>
        <w:left w:val="none" w:sz="0" w:space="0" w:color="auto"/>
        <w:bottom w:val="none" w:sz="0" w:space="0" w:color="auto"/>
        <w:right w:val="none" w:sz="0" w:space="0" w:color="auto"/>
      </w:divBdr>
    </w:div>
    <w:div w:id="1701281537">
      <w:bodyDiv w:val="1"/>
      <w:marLeft w:val="0"/>
      <w:marRight w:val="0"/>
      <w:marTop w:val="0"/>
      <w:marBottom w:val="0"/>
      <w:divBdr>
        <w:top w:val="none" w:sz="0" w:space="0" w:color="auto"/>
        <w:left w:val="none" w:sz="0" w:space="0" w:color="auto"/>
        <w:bottom w:val="none" w:sz="0" w:space="0" w:color="auto"/>
        <w:right w:val="none" w:sz="0" w:space="0" w:color="auto"/>
      </w:divBdr>
    </w:div>
    <w:div w:id="1778674379">
      <w:bodyDiv w:val="1"/>
      <w:marLeft w:val="0"/>
      <w:marRight w:val="0"/>
      <w:marTop w:val="0"/>
      <w:marBottom w:val="0"/>
      <w:divBdr>
        <w:top w:val="none" w:sz="0" w:space="0" w:color="auto"/>
        <w:left w:val="none" w:sz="0" w:space="0" w:color="auto"/>
        <w:bottom w:val="none" w:sz="0" w:space="0" w:color="auto"/>
        <w:right w:val="none" w:sz="0" w:space="0" w:color="auto"/>
      </w:divBdr>
      <w:divsChild>
        <w:div w:id="1255741821">
          <w:marLeft w:val="0"/>
          <w:marRight w:val="0"/>
          <w:marTop w:val="0"/>
          <w:marBottom w:val="0"/>
          <w:divBdr>
            <w:top w:val="none" w:sz="0" w:space="0" w:color="auto"/>
            <w:left w:val="none" w:sz="0" w:space="0" w:color="auto"/>
            <w:bottom w:val="none" w:sz="0" w:space="0" w:color="auto"/>
            <w:right w:val="none" w:sz="0" w:space="0" w:color="auto"/>
          </w:divBdr>
          <w:divsChild>
            <w:div w:id="202057499">
              <w:marLeft w:val="0"/>
              <w:marRight w:val="0"/>
              <w:marTop w:val="0"/>
              <w:marBottom w:val="0"/>
              <w:divBdr>
                <w:top w:val="none" w:sz="0" w:space="0" w:color="auto"/>
                <w:left w:val="none" w:sz="0" w:space="0" w:color="auto"/>
                <w:bottom w:val="none" w:sz="0" w:space="0" w:color="auto"/>
                <w:right w:val="none" w:sz="0" w:space="0" w:color="auto"/>
              </w:divBdr>
              <w:divsChild>
                <w:div w:id="50771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249888">
      <w:bodyDiv w:val="1"/>
      <w:marLeft w:val="0"/>
      <w:marRight w:val="0"/>
      <w:marTop w:val="0"/>
      <w:marBottom w:val="0"/>
      <w:divBdr>
        <w:top w:val="none" w:sz="0" w:space="0" w:color="auto"/>
        <w:left w:val="none" w:sz="0" w:space="0" w:color="auto"/>
        <w:bottom w:val="none" w:sz="0" w:space="0" w:color="auto"/>
        <w:right w:val="none" w:sz="0" w:space="0" w:color="auto"/>
      </w:divBdr>
    </w:div>
    <w:div w:id="1892619468">
      <w:bodyDiv w:val="1"/>
      <w:marLeft w:val="0"/>
      <w:marRight w:val="0"/>
      <w:marTop w:val="0"/>
      <w:marBottom w:val="0"/>
      <w:divBdr>
        <w:top w:val="none" w:sz="0" w:space="0" w:color="auto"/>
        <w:left w:val="none" w:sz="0" w:space="0" w:color="auto"/>
        <w:bottom w:val="none" w:sz="0" w:space="0" w:color="auto"/>
        <w:right w:val="none" w:sz="0" w:space="0" w:color="auto"/>
      </w:divBdr>
    </w:div>
    <w:div w:id="195181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ajid@umw.edu" TargetMode="External"/><Relationship Id="rId13" Type="http://schemas.openxmlformats.org/officeDocument/2006/relationships/hyperlink" Target="https://www.history.com/news/seat-belt-laws-resistance" TargetMode="Externa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 TargetMode="External"/><Relationship Id="rId17" Type="http://schemas.openxmlformats.org/officeDocument/2006/relationships/hyperlink" Target="https://www.kba.de/EN/Themen_en/Marktueberwachung_en/Rueckrufe_en/rueckrufe_node_en.html" TargetMode="External"/><Relationship Id="rId2" Type="http://schemas.openxmlformats.org/officeDocument/2006/relationships/numbering" Target="numbering.xml"/><Relationship Id="rId16" Type="http://schemas.openxmlformats.org/officeDocument/2006/relationships/hyperlink" Target="https://www.assets.publishing.service.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plinger.com/slideshow/investing/T052-S000-10-biggest-product-recalls-of-all-time/index.html" TargetMode="External"/><Relationship Id="rId5" Type="http://schemas.openxmlformats.org/officeDocument/2006/relationships/webSettings" Target="webSettings.xml"/><Relationship Id="rId15" Type="http://schemas.openxmlformats.org/officeDocument/2006/relationships/hyperlink" Target="https://www.nhtsa.gov/resources-investigations-recalls" TargetMode="External"/><Relationship Id="rId10" Type="http://schemas.openxmlformats.org/officeDocument/2006/relationships/hyperlink" Target="https://www.abs.gov.au/AUSSTATS/abs@.nsf/Previousproducts/8111.0Feature%20Article12009" TargetMode="Externa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yperlink" Target="mailto:hari.bapuji@unimelb.edu.au"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thomas-krenn.com/redx/tools/mb_download.php/mid.x543041763636374753346b3d/ADAC-auto-club-profile-en.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Kashef%20Majid\Dropbox\Responsiveness\JIBP\Recall%20Graphs.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Kashef%20Majid\Dropbox\Responsiveness\JIBP\Recall%20Graph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7777777777777776E-2"/>
          <c:y val="5.0925925925925923E-2"/>
          <c:w val="0.93888888888888888"/>
          <c:h val="0.73577136191309422"/>
        </c:manualLayout>
      </c:layout>
      <c:lineChart>
        <c:grouping val="standard"/>
        <c:varyColors val="0"/>
        <c:ser>
          <c:idx val="0"/>
          <c:order val="0"/>
          <c:tx>
            <c:strRef>
              <c:f>'Lawsuits per 100k'!$B$3</c:f>
              <c:strCache>
                <c:ptCount val="1"/>
                <c:pt idx="0">
                  <c:v>UK</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'Lawsuits per 100k'!$A$4:$A$7</c:f>
              <c:strCache>
                <c:ptCount val="4"/>
                <c:pt idx="0">
                  <c:v>Month 1</c:v>
                </c:pt>
                <c:pt idx="1">
                  <c:v>Month 24</c:v>
                </c:pt>
                <c:pt idx="2">
                  <c:v>Month 48</c:v>
                </c:pt>
                <c:pt idx="3">
                  <c:v>Month 72</c:v>
                </c:pt>
              </c:strCache>
            </c:strRef>
          </c:cat>
          <c:val>
            <c:numRef>
              <c:f>'Lawsuits per 100k'!$B$4:$B$7</c:f>
              <c:numCache>
                <c:formatCode>General</c:formatCode>
                <c:ptCount val="4"/>
                <c:pt idx="0">
                  <c:v>5.8075295795295438E-3</c:v>
                </c:pt>
                <c:pt idx="1">
                  <c:v>0.13938070990870904</c:v>
                </c:pt>
                <c:pt idx="2">
                  <c:v>0.27876141981741809</c:v>
                </c:pt>
                <c:pt idx="3">
                  <c:v>0.41814212972612713</c:v>
                </c:pt>
              </c:numCache>
            </c:numRef>
          </c:val>
          <c:smooth val="0"/>
          <c:extLst>
            <c:ext xmlns:c16="http://schemas.microsoft.com/office/drawing/2014/chart" uri="{C3380CC4-5D6E-409C-BE32-E72D297353CC}">
              <c16:uniqueId val="{00000000-C994-44C8-9687-BA5F35B36D29}"/>
            </c:ext>
          </c:extLst>
        </c:ser>
        <c:ser>
          <c:idx val="1"/>
          <c:order val="1"/>
          <c:tx>
            <c:strRef>
              <c:f>'Lawsuits per 100k'!$C$3</c:f>
              <c:strCache>
                <c:ptCount val="1"/>
                <c:pt idx="0">
                  <c:v>US</c:v>
                </c:pt>
              </c:strCache>
            </c:strRef>
          </c:tx>
          <c:spPr>
            <a:ln w="28575" cap="rnd">
              <a:solidFill>
                <a:srgbClr val="C00000"/>
              </a:solidFill>
              <a:round/>
            </a:ln>
            <a:effectLst/>
          </c:spPr>
          <c:marker>
            <c:symbol val="circle"/>
            <c:size val="5"/>
            <c:spPr>
              <a:solidFill>
                <a:srgbClr val="C00000"/>
              </a:solidFill>
              <a:ln w="9525">
                <a:solidFill>
                  <a:schemeClr val="accent2"/>
                </a:solidFill>
              </a:ln>
              <a:effectLst/>
            </c:spPr>
          </c:marker>
          <c:cat>
            <c:strRef>
              <c:f>'Lawsuits per 100k'!$A$4:$A$7</c:f>
              <c:strCache>
                <c:ptCount val="4"/>
                <c:pt idx="0">
                  <c:v>Month 1</c:v>
                </c:pt>
                <c:pt idx="1">
                  <c:v>Month 24</c:v>
                </c:pt>
                <c:pt idx="2">
                  <c:v>Month 48</c:v>
                </c:pt>
                <c:pt idx="3">
                  <c:v>Month 72</c:v>
                </c:pt>
              </c:strCache>
            </c:strRef>
          </c:cat>
          <c:val>
            <c:numRef>
              <c:f>'Lawsuits per 100k'!$C$4:$C$7</c:f>
              <c:numCache>
                <c:formatCode>General</c:formatCode>
                <c:ptCount val="4"/>
                <c:pt idx="0">
                  <c:v>4.6494795052631479E-3</c:v>
                </c:pt>
                <c:pt idx="1">
                  <c:v>0.11158750812631554</c:v>
                </c:pt>
                <c:pt idx="2">
                  <c:v>0.22317501625263109</c:v>
                </c:pt>
                <c:pt idx="3">
                  <c:v>0.33476252437894666</c:v>
                </c:pt>
              </c:numCache>
            </c:numRef>
          </c:val>
          <c:smooth val="0"/>
          <c:extLst>
            <c:ext xmlns:c16="http://schemas.microsoft.com/office/drawing/2014/chart" uri="{C3380CC4-5D6E-409C-BE32-E72D297353CC}">
              <c16:uniqueId val="{00000001-C994-44C8-9687-BA5F35B36D29}"/>
            </c:ext>
          </c:extLst>
        </c:ser>
        <c:dLbls>
          <c:showLegendKey val="0"/>
          <c:showVal val="0"/>
          <c:showCatName val="0"/>
          <c:showSerName val="0"/>
          <c:showPercent val="0"/>
          <c:showBubbleSize val="0"/>
        </c:dLbls>
        <c:marker val="1"/>
        <c:smooth val="0"/>
        <c:axId val="772693008"/>
        <c:axId val="620058328"/>
      </c:lineChart>
      <c:catAx>
        <c:axId val="772693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0058328"/>
        <c:crosses val="autoZero"/>
        <c:auto val="1"/>
        <c:lblAlgn val="ctr"/>
        <c:lblOffset val="100"/>
        <c:noMultiLvlLbl val="0"/>
      </c:catAx>
      <c:valAx>
        <c:axId val="620058328"/>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772693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'Lawsuits per 100k'!$B$10</c:f>
              <c:strCache>
                <c:ptCount val="1"/>
                <c:pt idx="0">
                  <c:v>UK</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'Lawsuits per 100k'!$A$11:$A$14</c:f>
              <c:strCache>
                <c:ptCount val="4"/>
                <c:pt idx="0">
                  <c:v>Month 1</c:v>
                </c:pt>
                <c:pt idx="1">
                  <c:v>Month 24</c:v>
                </c:pt>
                <c:pt idx="2">
                  <c:v>Month 48</c:v>
                </c:pt>
                <c:pt idx="3">
                  <c:v>Month 72</c:v>
                </c:pt>
              </c:strCache>
            </c:strRef>
          </c:cat>
          <c:val>
            <c:numRef>
              <c:f>'Lawsuits per 100k'!$B$11:$B$14</c:f>
              <c:numCache>
                <c:formatCode>General</c:formatCode>
                <c:ptCount val="4"/>
                <c:pt idx="0">
                  <c:v>2.0265914213191414E-3</c:v>
                </c:pt>
                <c:pt idx="1">
                  <c:v>4.8638194111659393E-2</c:v>
                </c:pt>
                <c:pt idx="2">
                  <c:v>9.7276388223318785E-2</c:v>
                </c:pt>
                <c:pt idx="3">
                  <c:v>0.14591458233497817</c:v>
                </c:pt>
              </c:numCache>
            </c:numRef>
          </c:val>
          <c:smooth val="0"/>
          <c:extLst>
            <c:ext xmlns:c16="http://schemas.microsoft.com/office/drawing/2014/chart" uri="{C3380CC4-5D6E-409C-BE32-E72D297353CC}">
              <c16:uniqueId val="{00000000-3B9A-42EE-BC3C-863B5DFA05E8}"/>
            </c:ext>
          </c:extLst>
        </c:ser>
        <c:ser>
          <c:idx val="1"/>
          <c:order val="1"/>
          <c:tx>
            <c:strRef>
              <c:f>'Lawsuits per 100k'!$C$10</c:f>
              <c:strCache>
                <c:ptCount val="1"/>
                <c:pt idx="0">
                  <c:v>Australia</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'Lawsuits per 100k'!$A$11:$A$14</c:f>
              <c:strCache>
                <c:ptCount val="4"/>
                <c:pt idx="0">
                  <c:v>Month 1</c:v>
                </c:pt>
                <c:pt idx="1">
                  <c:v>Month 24</c:v>
                </c:pt>
                <c:pt idx="2">
                  <c:v>Month 48</c:v>
                </c:pt>
                <c:pt idx="3">
                  <c:v>Month 72</c:v>
                </c:pt>
              </c:strCache>
            </c:strRef>
          </c:cat>
          <c:val>
            <c:numRef>
              <c:f>'Lawsuits per 100k'!$C$11:$C$14</c:f>
              <c:numCache>
                <c:formatCode>General</c:formatCode>
                <c:ptCount val="4"/>
                <c:pt idx="0">
                  <c:v>1.0374391066162085E-3</c:v>
                </c:pt>
                <c:pt idx="1">
                  <c:v>2.4898538558789006E-2</c:v>
                </c:pt>
                <c:pt idx="2">
                  <c:v>4.9797077117578012E-2</c:v>
                </c:pt>
                <c:pt idx="3">
                  <c:v>7.4695615676367011E-2</c:v>
                </c:pt>
              </c:numCache>
            </c:numRef>
          </c:val>
          <c:smooth val="0"/>
          <c:extLst>
            <c:ext xmlns:c16="http://schemas.microsoft.com/office/drawing/2014/chart" uri="{C3380CC4-5D6E-409C-BE32-E72D297353CC}">
              <c16:uniqueId val="{00000001-3B9A-42EE-BC3C-863B5DFA05E8}"/>
            </c:ext>
          </c:extLst>
        </c:ser>
        <c:dLbls>
          <c:showLegendKey val="0"/>
          <c:showVal val="0"/>
          <c:showCatName val="0"/>
          <c:showSerName val="0"/>
          <c:showPercent val="0"/>
          <c:showBubbleSize val="0"/>
        </c:dLbls>
        <c:marker val="1"/>
        <c:smooth val="0"/>
        <c:axId val="768844816"/>
        <c:axId val="768845176"/>
      </c:lineChart>
      <c:catAx>
        <c:axId val="768844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8845176"/>
        <c:crosses val="autoZero"/>
        <c:auto val="1"/>
        <c:lblAlgn val="ctr"/>
        <c:lblOffset val="100"/>
        <c:noMultiLvlLbl val="0"/>
      </c:catAx>
      <c:valAx>
        <c:axId val="768845176"/>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768844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0.8401</cdr:x>
      <cdr:y>0.12413</cdr:y>
    </cdr:from>
    <cdr:to>
      <cdr:x>0.93593</cdr:x>
      <cdr:y>0.24219</cdr:y>
    </cdr:to>
    <cdr:sp macro="" textlink="">
      <cdr:nvSpPr>
        <cdr:cNvPr id="2" name="TextBox 1">
          <a:extLst xmlns:a="http://schemas.openxmlformats.org/drawingml/2006/main">
            <a:ext uri="{FF2B5EF4-FFF2-40B4-BE49-F238E27FC236}">
              <a16:creationId xmlns:a16="http://schemas.microsoft.com/office/drawing/2014/main" id="{B7B98ABA-6748-5D3B-BA7C-47B80DAEBF03}"/>
            </a:ext>
          </a:extLst>
        </cdr:cNvPr>
        <cdr:cNvSpPr txBox="1"/>
      </cdr:nvSpPr>
      <cdr:spPr>
        <a:xfrm xmlns:a="http://schemas.openxmlformats.org/drawingml/2006/main">
          <a:off x="3840960" y="340519"/>
          <a:ext cx="438134" cy="3238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42%</a:t>
          </a:r>
        </a:p>
      </cdr:txBody>
    </cdr:sp>
  </cdr:relSizeAnchor>
  <cdr:relSizeAnchor xmlns:cdr="http://schemas.openxmlformats.org/drawingml/2006/chartDrawing">
    <cdr:from>
      <cdr:x>0.62448</cdr:x>
      <cdr:y>0.27517</cdr:y>
    </cdr:from>
    <cdr:to>
      <cdr:x>0.72552</cdr:x>
      <cdr:y>0.38976</cdr:y>
    </cdr:to>
    <cdr:sp macro="" textlink="">
      <cdr:nvSpPr>
        <cdr:cNvPr id="3" name="TextBox 1">
          <a:extLst xmlns:a="http://schemas.openxmlformats.org/drawingml/2006/main">
            <a:ext uri="{FF2B5EF4-FFF2-40B4-BE49-F238E27FC236}">
              <a16:creationId xmlns:a16="http://schemas.microsoft.com/office/drawing/2014/main" id="{F483800D-53B9-D6CE-1223-14DEFB6696A3}"/>
            </a:ext>
          </a:extLst>
        </cdr:cNvPr>
        <cdr:cNvSpPr txBox="1"/>
      </cdr:nvSpPr>
      <cdr:spPr>
        <a:xfrm xmlns:a="http://schemas.openxmlformats.org/drawingml/2006/main">
          <a:off x="2855118" y="754857"/>
          <a:ext cx="461963" cy="31432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28%</a:t>
          </a:r>
        </a:p>
      </cdr:txBody>
    </cdr:sp>
  </cdr:relSizeAnchor>
  <cdr:relSizeAnchor xmlns:cdr="http://schemas.openxmlformats.org/drawingml/2006/chartDrawing">
    <cdr:from>
      <cdr:x>0.38594</cdr:x>
      <cdr:y>0.4974</cdr:y>
    </cdr:from>
    <cdr:to>
      <cdr:x>0.50677</cdr:x>
      <cdr:y>0.57031</cdr:y>
    </cdr:to>
    <cdr:sp macro="" textlink="">
      <cdr:nvSpPr>
        <cdr:cNvPr id="5" name="TextBox 1">
          <a:extLst xmlns:a="http://schemas.openxmlformats.org/drawingml/2006/main">
            <a:ext uri="{FF2B5EF4-FFF2-40B4-BE49-F238E27FC236}">
              <a16:creationId xmlns:a16="http://schemas.microsoft.com/office/drawing/2014/main" id="{F483800D-53B9-D6CE-1223-14DEFB6696A3}"/>
            </a:ext>
          </a:extLst>
        </cdr:cNvPr>
        <cdr:cNvSpPr txBox="1"/>
      </cdr:nvSpPr>
      <cdr:spPr>
        <a:xfrm xmlns:a="http://schemas.openxmlformats.org/drawingml/2006/main">
          <a:off x="1764505" y="1364457"/>
          <a:ext cx="552451" cy="20002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14%</a:t>
          </a:r>
        </a:p>
      </cdr:txBody>
    </cdr:sp>
  </cdr:relSizeAnchor>
  <cdr:relSizeAnchor xmlns:cdr="http://schemas.openxmlformats.org/drawingml/2006/chartDrawing">
    <cdr:from>
      <cdr:x>0.80573</cdr:x>
      <cdr:y>0.15538</cdr:y>
    </cdr:from>
    <cdr:to>
      <cdr:x>0.83385</cdr:x>
      <cdr:y>0.2474</cdr:y>
    </cdr:to>
    <cdr:sp macro="" textlink="">
      <cdr:nvSpPr>
        <cdr:cNvPr id="4" name="Arrow: Up-Down 3">
          <a:extLst xmlns:a="http://schemas.openxmlformats.org/drawingml/2006/main">
            <a:ext uri="{FF2B5EF4-FFF2-40B4-BE49-F238E27FC236}">
              <a16:creationId xmlns:a16="http://schemas.microsoft.com/office/drawing/2014/main" id="{648144ED-32A5-BED6-F357-60786102BE81}"/>
            </a:ext>
          </a:extLst>
        </cdr:cNvPr>
        <cdr:cNvSpPr/>
      </cdr:nvSpPr>
      <cdr:spPr>
        <a:xfrm xmlns:a="http://schemas.openxmlformats.org/drawingml/2006/main">
          <a:off x="3683794" y="426245"/>
          <a:ext cx="128587" cy="252412"/>
        </a:xfrm>
        <a:prstGeom xmlns:a="http://schemas.openxmlformats.org/drawingml/2006/main" prst="upDownArrow">
          <a:avLst/>
        </a:prstGeom>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44322-7880-4699-9D18-798A678DD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46</Pages>
  <Words>14032</Words>
  <Characters>79987</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Kashef Majid</cp:lastModifiedBy>
  <cp:revision>7</cp:revision>
  <cp:lastPrinted>2012-01-16T19:07:00Z</cp:lastPrinted>
  <dcterms:created xsi:type="dcterms:W3CDTF">2024-04-27T15:32:00Z</dcterms:created>
  <dcterms:modified xsi:type="dcterms:W3CDTF">2024-04-29T01:08:00Z</dcterms:modified>
</cp:coreProperties>
</file>